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B5EE" w14:textId="77777777" w:rsidR="00264DA8" w:rsidRDefault="00264DA8" w:rsidP="005D1D17"/>
    <w:p w14:paraId="4E6CF582" w14:textId="13AA2158" w:rsidR="00264DA8" w:rsidRDefault="00264DA8" w:rsidP="005D1D17">
      <w:pPr>
        <w:jc w:val="center"/>
      </w:pPr>
      <w:r w:rsidRPr="001E2A34">
        <w:rPr>
          <w:noProof/>
        </w:rPr>
        <w:drawing>
          <wp:inline distT="0" distB="0" distL="0" distR="0" wp14:anchorId="00CDD728" wp14:editId="6B97F531">
            <wp:extent cx="2240568" cy="1145739"/>
            <wp:effectExtent l="0" t="0" r="0" b="0"/>
            <wp:docPr id="2013541983"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5" descr="Picture 5"/>
                    <pic:cNvPicPr>
                      <a:picLocks noChangeAspect="1"/>
                    </pic:cNvPicPr>
                  </pic:nvPicPr>
                  <pic:blipFill rotWithShape="1">
                    <a:blip r:embed="rId11"/>
                    <a:srcRect t="12057" b="6771"/>
                    <a:stretch>
                      <a:fillRect/>
                    </a:stretch>
                  </pic:blipFill>
                  <pic:spPr bwMode="auto">
                    <a:xfrm>
                      <a:off x="0" y="0"/>
                      <a:ext cx="2305508" cy="1178947"/>
                    </a:xfrm>
                    <a:prstGeom prst="rect">
                      <a:avLst/>
                    </a:prstGeom>
                    <a:ln>
                      <a:noFill/>
                    </a:ln>
                    <a:extLst>
                      <a:ext uri="{53640926-AAD7-44D8-BBD7-CCE9431645EC}">
                        <a14:shadowObscured xmlns:a14="http://schemas.microsoft.com/office/drawing/2010/main"/>
                      </a:ext>
                    </a:extLst>
                  </pic:spPr>
                </pic:pic>
              </a:graphicData>
            </a:graphic>
          </wp:inline>
        </w:drawing>
      </w:r>
    </w:p>
    <w:p w14:paraId="7BC1F63A" w14:textId="4D5B9930" w:rsidR="00D46F6B" w:rsidRDefault="00A971D2" w:rsidP="005D1D17">
      <w:pPr>
        <w:pStyle w:val="Title"/>
        <w:jc w:val="center"/>
      </w:pPr>
      <w:r w:rsidRPr="001321EC">
        <w:rPr>
          <w:noProof/>
        </w:rPr>
        <w:fldChar w:fldCharType="begin"/>
      </w:r>
      <w:r w:rsidRPr="001321EC">
        <w:rPr>
          <w:noProof/>
        </w:rPr>
        <w:instrText xml:space="preserve"> TITLE   \* MERGEFORMAT </w:instrText>
      </w:r>
      <w:r w:rsidRPr="001321EC">
        <w:rPr>
          <w:noProof/>
        </w:rPr>
        <w:fldChar w:fldCharType="separate"/>
      </w:r>
      <w:r w:rsidR="008B4CCC">
        <w:rPr>
          <w:noProof/>
        </w:rPr>
        <w:t>Family Access Policy</w:t>
      </w:r>
      <w:r w:rsidRPr="001321EC">
        <w:rPr>
          <w:noProof/>
        </w:rPr>
        <w:fldChar w:fldCharType="end"/>
      </w:r>
    </w:p>
    <w:tbl>
      <w:tblPr>
        <w:tblStyle w:val="TableGrid"/>
        <w:tblW w:w="0" w:type="auto"/>
        <w:tblLook w:val="04A0" w:firstRow="1" w:lastRow="0" w:firstColumn="1" w:lastColumn="0" w:noHBand="0" w:noVBand="1"/>
      </w:tblPr>
      <w:tblGrid>
        <w:gridCol w:w="2972"/>
        <w:gridCol w:w="6378"/>
      </w:tblGrid>
      <w:tr w:rsidR="00D46F6B" w14:paraId="5633D293" w14:textId="77777777" w:rsidTr="00D46F6B">
        <w:tc>
          <w:tcPr>
            <w:tcW w:w="2972" w:type="dxa"/>
          </w:tcPr>
          <w:p w14:paraId="10BDB792" w14:textId="5C7DEE2F" w:rsidR="00D46F6B" w:rsidRPr="00D46F6B" w:rsidRDefault="00D46F6B" w:rsidP="005D1D17">
            <w:pPr>
              <w:spacing w:before="120" w:after="120"/>
              <w:ind w:left="318"/>
              <w:rPr>
                <w:rFonts w:ascii="Poppins" w:hAnsi="Poppins" w:cs="Poppins"/>
                <w:b/>
                <w:bCs/>
              </w:rPr>
            </w:pPr>
            <w:r w:rsidRPr="00D46F6B">
              <w:rPr>
                <w:rFonts w:ascii="Poppins" w:hAnsi="Poppins" w:cs="Poppins"/>
                <w:b/>
                <w:bCs/>
              </w:rPr>
              <w:t>Reference</w:t>
            </w:r>
          </w:p>
        </w:tc>
        <w:tc>
          <w:tcPr>
            <w:tcW w:w="6378" w:type="dxa"/>
          </w:tcPr>
          <w:p w14:paraId="59380C11" w14:textId="63E6BAAD" w:rsidR="00D46F6B" w:rsidRPr="00D46F6B" w:rsidRDefault="00D46F6B" w:rsidP="005D1D17">
            <w:pPr>
              <w:spacing w:before="120" w:after="120"/>
              <w:ind w:left="171"/>
              <w:rPr>
                <w:rFonts w:ascii="Poppins" w:hAnsi="Poppins" w:cs="Poppins"/>
              </w:rPr>
            </w:pPr>
            <w:bookmarkStart w:id="0" w:name="Reference"/>
            <w:r w:rsidRPr="00D46F6B">
              <w:rPr>
                <w:rFonts w:ascii="Poppins" w:hAnsi="Poppins" w:cs="Poppins"/>
              </w:rPr>
              <w:t>MCF-</w:t>
            </w:r>
            <w:bookmarkEnd w:id="0"/>
            <w:r w:rsidR="00132826">
              <w:rPr>
                <w:rFonts w:ascii="Poppins" w:hAnsi="Poppins" w:cs="Poppins"/>
              </w:rPr>
              <w:t>CUST-0</w:t>
            </w:r>
            <w:r w:rsidR="008B4CCC">
              <w:rPr>
                <w:rFonts w:ascii="Poppins" w:hAnsi="Poppins" w:cs="Poppins"/>
              </w:rPr>
              <w:t>3</w:t>
            </w:r>
            <w:r w:rsidR="00132826">
              <w:rPr>
                <w:rFonts w:ascii="Poppins" w:hAnsi="Poppins" w:cs="Poppins"/>
              </w:rPr>
              <w:t>-</w:t>
            </w:r>
            <w:r w:rsidR="008B4CCC">
              <w:rPr>
                <w:rFonts w:ascii="Poppins" w:hAnsi="Poppins" w:cs="Poppins"/>
              </w:rPr>
              <w:t>Family-Access</w:t>
            </w:r>
            <w:r w:rsidR="00132826">
              <w:rPr>
                <w:rFonts w:ascii="Poppins" w:hAnsi="Poppins" w:cs="Poppins"/>
              </w:rPr>
              <w:t>-Policy</w:t>
            </w:r>
          </w:p>
        </w:tc>
      </w:tr>
      <w:tr w:rsidR="00D46F6B" w14:paraId="66F0627D" w14:textId="77777777" w:rsidTr="00D46F6B">
        <w:tc>
          <w:tcPr>
            <w:tcW w:w="2972" w:type="dxa"/>
          </w:tcPr>
          <w:p w14:paraId="1D22288C" w14:textId="67116E98" w:rsidR="00D46F6B" w:rsidRPr="00D46F6B" w:rsidRDefault="00D46F6B" w:rsidP="005D1D17">
            <w:pPr>
              <w:spacing w:before="120" w:after="120"/>
              <w:ind w:left="318"/>
              <w:rPr>
                <w:rFonts w:ascii="Poppins" w:hAnsi="Poppins" w:cs="Poppins"/>
                <w:b/>
                <w:bCs/>
              </w:rPr>
            </w:pPr>
            <w:r w:rsidRPr="00D46F6B">
              <w:rPr>
                <w:rFonts w:ascii="Poppins" w:hAnsi="Poppins" w:cs="Poppins"/>
                <w:b/>
                <w:bCs/>
              </w:rPr>
              <w:t>Issue No</w:t>
            </w:r>
          </w:p>
        </w:tc>
        <w:tc>
          <w:tcPr>
            <w:tcW w:w="6378" w:type="dxa"/>
          </w:tcPr>
          <w:p w14:paraId="427A3FDA" w14:textId="6B5906AB" w:rsidR="00D46F6B" w:rsidRPr="00D46F6B" w:rsidRDefault="00752222" w:rsidP="005D1D17">
            <w:pPr>
              <w:spacing w:before="120" w:after="120"/>
              <w:ind w:left="171"/>
              <w:rPr>
                <w:rFonts w:ascii="Poppins" w:hAnsi="Poppins" w:cs="Poppins"/>
              </w:rPr>
            </w:pPr>
            <w:r>
              <w:rPr>
                <w:rFonts w:ascii="Poppins" w:hAnsi="Poppins" w:cs="Poppins"/>
              </w:rPr>
              <w:t>1</w:t>
            </w:r>
            <w:r w:rsidR="00D46F6B" w:rsidRPr="00D46F6B">
              <w:rPr>
                <w:rFonts w:ascii="Poppins" w:hAnsi="Poppins" w:cs="Poppins"/>
              </w:rPr>
              <w:t>.</w:t>
            </w:r>
            <w:r w:rsidR="006E24F5">
              <w:rPr>
                <w:rFonts w:ascii="Poppins" w:hAnsi="Poppins" w:cs="Poppins"/>
              </w:rPr>
              <w:t>1</w:t>
            </w:r>
          </w:p>
        </w:tc>
      </w:tr>
      <w:tr w:rsidR="00D46F6B" w14:paraId="61821CC5" w14:textId="77777777" w:rsidTr="00D46F6B">
        <w:tc>
          <w:tcPr>
            <w:tcW w:w="2972" w:type="dxa"/>
          </w:tcPr>
          <w:p w14:paraId="2EFF3C83" w14:textId="71F70080" w:rsidR="00D46F6B" w:rsidRPr="00D46F6B" w:rsidRDefault="00D46F6B" w:rsidP="005D1D17">
            <w:pPr>
              <w:spacing w:before="120" w:after="120"/>
              <w:ind w:left="318"/>
              <w:rPr>
                <w:rFonts w:ascii="Poppins" w:hAnsi="Poppins" w:cs="Poppins"/>
                <w:b/>
                <w:bCs/>
              </w:rPr>
            </w:pPr>
            <w:r w:rsidRPr="00D46F6B">
              <w:rPr>
                <w:rFonts w:ascii="Poppins" w:hAnsi="Poppins" w:cs="Poppins"/>
                <w:b/>
                <w:bCs/>
              </w:rPr>
              <w:t>Issue Date</w:t>
            </w:r>
          </w:p>
        </w:tc>
        <w:tc>
          <w:tcPr>
            <w:tcW w:w="6378" w:type="dxa"/>
          </w:tcPr>
          <w:p w14:paraId="10C14509" w14:textId="2D28C14D" w:rsidR="00D46F6B" w:rsidRPr="00D46F6B" w:rsidRDefault="00BB5840" w:rsidP="005D1D17">
            <w:pPr>
              <w:spacing w:before="120" w:after="120"/>
              <w:ind w:left="171"/>
              <w:rPr>
                <w:rFonts w:ascii="Poppins" w:hAnsi="Poppins" w:cs="Poppins"/>
              </w:rPr>
            </w:pPr>
            <w:r>
              <w:t>22</w:t>
            </w:r>
            <w:r w:rsidRPr="00BB5840">
              <w:rPr>
                <w:vertAlign w:val="superscript"/>
              </w:rPr>
              <w:t>nd</w:t>
            </w:r>
            <w:r>
              <w:t xml:space="preserve"> </w:t>
            </w:r>
            <w:r w:rsidR="00752222">
              <w:t xml:space="preserve">June </w:t>
            </w:r>
            <w:r w:rsidR="00C570B2">
              <w:t>2026</w:t>
            </w:r>
          </w:p>
        </w:tc>
      </w:tr>
    </w:tbl>
    <w:p w14:paraId="6972CDFB" w14:textId="77777777" w:rsidR="001A45DE" w:rsidRDefault="001A45DE" w:rsidP="005D1D17"/>
    <w:p w14:paraId="39FF1DCA" w14:textId="41B9B58F" w:rsidR="00264DA8" w:rsidRDefault="00264DA8" w:rsidP="005D1D17">
      <w:pPr>
        <w:pStyle w:val="Title"/>
      </w:pPr>
      <w:r>
        <w:t>Contents</w:t>
      </w:r>
    </w:p>
    <w:p w14:paraId="147E86D3" w14:textId="3EDB57B7" w:rsidR="00C72DBA" w:rsidRDefault="00C376FB">
      <w:pPr>
        <w:pStyle w:val="TOC1"/>
        <w:tabs>
          <w:tab w:val="left" w:pos="480"/>
          <w:tab w:val="right" w:leader="dot" w:pos="9350"/>
        </w:tabs>
        <w:rPr>
          <w:rFonts w:eastAsiaTheme="minorEastAsia"/>
          <w:noProof/>
          <w:kern w:val="2"/>
          <w:sz w:val="24"/>
          <w:szCs w:val="24"/>
          <w:lang w:eastAsia="en-GB"/>
        </w:rPr>
      </w:pPr>
      <w:r>
        <w:fldChar w:fldCharType="begin"/>
      </w:r>
      <w:r>
        <w:instrText xml:space="preserve"> TOC \o "1-</w:instrText>
      </w:r>
      <w:r w:rsidR="00264DA8">
        <w:instrText>1</w:instrText>
      </w:r>
      <w:r>
        <w:instrText xml:space="preserve">" \h \z \u </w:instrText>
      </w:r>
      <w:r>
        <w:fldChar w:fldCharType="separate"/>
      </w:r>
      <w:hyperlink w:anchor="_Toc233038129" w:history="1">
        <w:r w:rsidR="00C72DBA" w:rsidRPr="00B26410">
          <w:rPr>
            <w:rStyle w:val="Hyperlink"/>
            <w:noProof/>
          </w:rPr>
          <w:t>1.</w:t>
        </w:r>
        <w:r w:rsidR="00C72DBA">
          <w:rPr>
            <w:rFonts w:eastAsiaTheme="minorEastAsia"/>
            <w:noProof/>
            <w:kern w:val="2"/>
            <w:sz w:val="24"/>
            <w:szCs w:val="24"/>
            <w:lang w:eastAsia="en-GB"/>
          </w:rPr>
          <w:tab/>
        </w:r>
        <w:r w:rsidR="00C72DBA" w:rsidRPr="00B26410">
          <w:rPr>
            <w:rStyle w:val="Hyperlink"/>
            <w:noProof/>
          </w:rPr>
          <w:t>Purpose</w:t>
        </w:r>
        <w:r w:rsidR="00C72DBA">
          <w:rPr>
            <w:noProof/>
            <w:webHidden/>
          </w:rPr>
          <w:tab/>
        </w:r>
        <w:r w:rsidR="00C72DBA">
          <w:rPr>
            <w:noProof/>
            <w:webHidden/>
          </w:rPr>
          <w:fldChar w:fldCharType="begin"/>
        </w:r>
        <w:r w:rsidR="00C72DBA">
          <w:rPr>
            <w:noProof/>
            <w:webHidden/>
          </w:rPr>
          <w:instrText xml:space="preserve"> PAGEREF _Toc233038129 \h </w:instrText>
        </w:r>
        <w:r w:rsidR="00C72DBA">
          <w:rPr>
            <w:noProof/>
            <w:webHidden/>
          </w:rPr>
        </w:r>
        <w:r w:rsidR="00C72DBA">
          <w:rPr>
            <w:noProof/>
            <w:webHidden/>
          </w:rPr>
          <w:fldChar w:fldCharType="separate"/>
        </w:r>
        <w:r w:rsidR="00C72DBA">
          <w:rPr>
            <w:noProof/>
            <w:webHidden/>
          </w:rPr>
          <w:t>2</w:t>
        </w:r>
        <w:r w:rsidR="00C72DBA">
          <w:rPr>
            <w:noProof/>
            <w:webHidden/>
          </w:rPr>
          <w:fldChar w:fldCharType="end"/>
        </w:r>
      </w:hyperlink>
    </w:p>
    <w:p w14:paraId="5506FE8E" w14:textId="258838DA" w:rsidR="00C72DBA" w:rsidRDefault="00C72DBA">
      <w:pPr>
        <w:pStyle w:val="TOC1"/>
        <w:tabs>
          <w:tab w:val="left" w:pos="480"/>
          <w:tab w:val="right" w:leader="dot" w:pos="9350"/>
        </w:tabs>
        <w:rPr>
          <w:rFonts w:eastAsiaTheme="minorEastAsia"/>
          <w:noProof/>
          <w:kern w:val="2"/>
          <w:sz w:val="24"/>
          <w:szCs w:val="24"/>
          <w:lang w:eastAsia="en-GB"/>
        </w:rPr>
      </w:pPr>
      <w:hyperlink w:anchor="_Toc233038130" w:history="1">
        <w:r w:rsidRPr="00B26410">
          <w:rPr>
            <w:rStyle w:val="Hyperlink"/>
            <w:noProof/>
          </w:rPr>
          <w:t>2.</w:t>
        </w:r>
        <w:r>
          <w:rPr>
            <w:rFonts w:eastAsiaTheme="minorEastAsia"/>
            <w:noProof/>
            <w:kern w:val="2"/>
            <w:sz w:val="24"/>
            <w:szCs w:val="24"/>
            <w:lang w:eastAsia="en-GB"/>
          </w:rPr>
          <w:tab/>
        </w:r>
        <w:r w:rsidRPr="00B26410">
          <w:rPr>
            <w:rStyle w:val="Hyperlink"/>
            <w:noProof/>
          </w:rPr>
          <w:t>Principles</w:t>
        </w:r>
        <w:r>
          <w:rPr>
            <w:noProof/>
            <w:webHidden/>
          </w:rPr>
          <w:tab/>
        </w:r>
        <w:r>
          <w:rPr>
            <w:noProof/>
            <w:webHidden/>
          </w:rPr>
          <w:fldChar w:fldCharType="begin"/>
        </w:r>
        <w:r>
          <w:rPr>
            <w:noProof/>
            <w:webHidden/>
          </w:rPr>
          <w:instrText xml:space="preserve"> PAGEREF _Toc233038130 \h </w:instrText>
        </w:r>
        <w:r>
          <w:rPr>
            <w:noProof/>
            <w:webHidden/>
          </w:rPr>
        </w:r>
        <w:r>
          <w:rPr>
            <w:noProof/>
            <w:webHidden/>
          </w:rPr>
          <w:fldChar w:fldCharType="separate"/>
        </w:r>
        <w:r>
          <w:rPr>
            <w:noProof/>
            <w:webHidden/>
          </w:rPr>
          <w:t>2</w:t>
        </w:r>
        <w:r>
          <w:rPr>
            <w:noProof/>
            <w:webHidden/>
          </w:rPr>
          <w:fldChar w:fldCharType="end"/>
        </w:r>
      </w:hyperlink>
    </w:p>
    <w:p w14:paraId="08606661" w14:textId="09ADA178" w:rsidR="00C72DBA" w:rsidRDefault="00C72DBA">
      <w:pPr>
        <w:pStyle w:val="TOC1"/>
        <w:tabs>
          <w:tab w:val="left" w:pos="480"/>
          <w:tab w:val="right" w:leader="dot" w:pos="9350"/>
        </w:tabs>
        <w:rPr>
          <w:rFonts w:eastAsiaTheme="minorEastAsia"/>
          <w:noProof/>
          <w:kern w:val="2"/>
          <w:sz w:val="24"/>
          <w:szCs w:val="24"/>
          <w:lang w:eastAsia="en-GB"/>
        </w:rPr>
      </w:pPr>
      <w:hyperlink w:anchor="_Toc233038131" w:history="1">
        <w:r w:rsidRPr="00B26410">
          <w:rPr>
            <w:rStyle w:val="Hyperlink"/>
            <w:noProof/>
          </w:rPr>
          <w:t>3.</w:t>
        </w:r>
        <w:r>
          <w:rPr>
            <w:rFonts w:eastAsiaTheme="minorEastAsia"/>
            <w:noProof/>
            <w:kern w:val="2"/>
            <w:sz w:val="24"/>
            <w:szCs w:val="24"/>
            <w:lang w:eastAsia="en-GB"/>
          </w:rPr>
          <w:tab/>
        </w:r>
        <w:r w:rsidRPr="00B26410">
          <w:rPr>
            <w:rStyle w:val="Hyperlink"/>
            <w:noProof/>
          </w:rPr>
          <w:t>Safeguarding Context</w:t>
        </w:r>
        <w:r>
          <w:rPr>
            <w:noProof/>
            <w:webHidden/>
          </w:rPr>
          <w:tab/>
        </w:r>
        <w:r>
          <w:rPr>
            <w:noProof/>
            <w:webHidden/>
          </w:rPr>
          <w:fldChar w:fldCharType="begin"/>
        </w:r>
        <w:r>
          <w:rPr>
            <w:noProof/>
            <w:webHidden/>
          </w:rPr>
          <w:instrText xml:space="preserve"> PAGEREF _Toc233038131 \h </w:instrText>
        </w:r>
        <w:r>
          <w:rPr>
            <w:noProof/>
            <w:webHidden/>
          </w:rPr>
        </w:r>
        <w:r>
          <w:rPr>
            <w:noProof/>
            <w:webHidden/>
          </w:rPr>
          <w:fldChar w:fldCharType="separate"/>
        </w:r>
        <w:r>
          <w:rPr>
            <w:noProof/>
            <w:webHidden/>
          </w:rPr>
          <w:t>2</w:t>
        </w:r>
        <w:r>
          <w:rPr>
            <w:noProof/>
            <w:webHidden/>
          </w:rPr>
          <w:fldChar w:fldCharType="end"/>
        </w:r>
      </w:hyperlink>
    </w:p>
    <w:p w14:paraId="75445414" w14:textId="6A400D24" w:rsidR="00C72DBA" w:rsidRDefault="00C72DBA">
      <w:pPr>
        <w:pStyle w:val="TOC1"/>
        <w:tabs>
          <w:tab w:val="left" w:pos="480"/>
          <w:tab w:val="right" w:leader="dot" w:pos="9350"/>
        </w:tabs>
        <w:rPr>
          <w:rFonts w:eastAsiaTheme="minorEastAsia"/>
          <w:noProof/>
          <w:kern w:val="2"/>
          <w:sz w:val="24"/>
          <w:szCs w:val="24"/>
          <w:lang w:eastAsia="en-GB"/>
        </w:rPr>
      </w:pPr>
      <w:hyperlink w:anchor="_Toc233038132" w:history="1">
        <w:r w:rsidRPr="00B26410">
          <w:rPr>
            <w:rStyle w:val="Hyperlink"/>
            <w:noProof/>
          </w:rPr>
          <w:t>4.</w:t>
        </w:r>
        <w:r>
          <w:rPr>
            <w:rFonts w:eastAsiaTheme="minorEastAsia"/>
            <w:noProof/>
            <w:kern w:val="2"/>
            <w:sz w:val="24"/>
            <w:szCs w:val="24"/>
            <w:lang w:eastAsia="en-GB"/>
          </w:rPr>
          <w:tab/>
        </w:r>
        <w:r w:rsidRPr="00B26410">
          <w:rPr>
            <w:rStyle w:val="Hyperlink"/>
            <w:noProof/>
          </w:rPr>
          <w:t>Family Access Request Process</w:t>
        </w:r>
        <w:r>
          <w:rPr>
            <w:noProof/>
            <w:webHidden/>
          </w:rPr>
          <w:tab/>
        </w:r>
        <w:r>
          <w:rPr>
            <w:noProof/>
            <w:webHidden/>
          </w:rPr>
          <w:fldChar w:fldCharType="begin"/>
        </w:r>
        <w:r>
          <w:rPr>
            <w:noProof/>
            <w:webHidden/>
          </w:rPr>
          <w:instrText xml:space="preserve"> PAGEREF _Toc233038132 \h </w:instrText>
        </w:r>
        <w:r>
          <w:rPr>
            <w:noProof/>
            <w:webHidden/>
          </w:rPr>
        </w:r>
        <w:r>
          <w:rPr>
            <w:noProof/>
            <w:webHidden/>
          </w:rPr>
          <w:fldChar w:fldCharType="separate"/>
        </w:r>
        <w:r>
          <w:rPr>
            <w:noProof/>
            <w:webHidden/>
          </w:rPr>
          <w:t>3</w:t>
        </w:r>
        <w:r>
          <w:rPr>
            <w:noProof/>
            <w:webHidden/>
          </w:rPr>
          <w:fldChar w:fldCharType="end"/>
        </w:r>
      </w:hyperlink>
    </w:p>
    <w:p w14:paraId="595A6FFC" w14:textId="131AD3AE" w:rsidR="00C72DBA" w:rsidRDefault="00C72DBA">
      <w:pPr>
        <w:pStyle w:val="TOC1"/>
        <w:tabs>
          <w:tab w:val="left" w:pos="480"/>
          <w:tab w:val="right" w:leader="dot" w:pos="9350"/>
        </w:tabs>
        <w:rPr>
          <w:rFonts w:eastAsiaTheme="minorEastAsia"/>
          <w:noProof/>
          <w:kern w:val="2"/>
          <w:sz w:val="24"/>
          <w:szCs w:val="24"/>
          <w:lang w:eastAsia="en-GB"/>
        </w:rPr>
      </w:pPr>
      <w:hyperlink w:anchor="_Toc233038133" w:history="1">
        <w:r w:rsidRPr="00B26410">
          <w:rPr>
            <w:rStyle w:val="Hyperlink"/>
            <w:noProof/>
          </w:rPr>
          <w:t>5.</w:t>
        </w:r>
        <w:r>
          <w:rPr>
            <w:rFonts w:eastAsiaTheme="minorEastAsia"/>
            <w:noProof/>
            <w:kern w:val="2"/>
            <w:sz w:val="24"/>
            <w:szCs w:val="24"/>
            <w:lang w:eastAsia="en-GB"/>
          </w:rPr>
          <w:tab/>
        </w:r>
        <w:r w:rsidRPr="00B26410">
          <w:rPr>
            <w:rStyle w:val="Hyperlink"/>
            <w:noProof/>
          </w:rPr>
          <w:t>Access Restrictions</w:t>
        </w:r>
        <w:r>
          <w:rPr>
            <w:noProof/>
            <w:webHidden/>
          </w:rPr>
          <w:tab/>
        </w:r>
        <w:r>
          <w:rPr>
            <w:noProof/>
            <w:webHidden/>
          </w:rPr>
          <w:fldChar w:fldCharType="begin"/>
        </w:r>
        <w:r>
          <w:rPr>
            <w:noProof/>
            <w:webHidden/>
          </w:rPr>
          <w:instrText xml:space="preserve"> PAGEREF _Toc233038133 \h </w:instrText>
        </w:r>
        <w:r>
          <w:rPr>
            <w:noProof/>
            <w:webHidden/>
          </w:rPr>
        </w:r>
        <w:r>
          <w:rPr>
            <w:noProof/>
            <w:webHidden/>
          </w:rPr>
          <w:fldChar w:fldCharType="separate"/>
        </w:r>
        <w:r>
          <w:rPr>
            <w:noProof/>
            <w:webHidden/>
          </w:rPr>
          <w:t>4</w:t>
        </w:r>
        <w:r>
          <w:rPr>
            <w:noProof/>
            <w:webHidden/>
          </w:rPr>
          <w:fldChar w:fldCharType="end"/>
        </w:r>
      </w:hyperlink>
    </w:p>
    <w:p w14:paraId="7D8705F6" w14:textId="7363D706" w:rsidR="00C72DBA" w:rsidRDefault="00C72DBA">
      <w:pPr>
        <w:pStyle w:val="TOC1"/>
        <w:tabs>
          <w:tab w:val="left" w:pos="480"/>
          <w:tab w:val="right" w:leader="dot" w:pos="9350"/>
        </w:tabs>
        <w:rPr>
          <w:rFonts w:eastAsiaTheme="minorEastAsia"/>
          <w:noProof/>
          <w:kern w:val="2"/>
          <w:sz w:val="24"/>
          <w:szCs w:val="24"/>
          <w:lang w:eastAsia="en-GB"/>
        </w:rPr>
      </w:pPr>
      <w:hyperlink w:anchor="_Toc233038134" w:history="1">
        <w:r w:rsidRPr="00B26410">
          <w:rPr>
            <w:rStyle w:val="Hyperlink"/>
            <w:noProof/>
          </w:rPr>
          <w:t>6.</w:t>
        </w:r>
        <w:r>
          <w:rPr>
            <w:rFonts w:eastAsiaTheme="minorEastAsia"/>
            <w:noProof/>
            <w:kern w:val="2"/>
            <w:sz w:val="24"/>
            <w:szCs w:val="24"/>
            <w:lang w:eastAsia="en-GB"/>
          </w:rPr>
          <w:tab/>
        </w:r>
        <w:r w:rsidRPr="00B26410">
          <w:rPr>
            <w:rStyle w:val="Hyperlink"/>
            <w:noProof/>
          </w:rPr>
          <w:t>Circle of Care</w:t>
        </w:r>
        <w:r>
          <w:rPr>
            <w:noProof/>
            <w:webHidden/>
          </w:rPr>
          <w:tab/>
        </w:r>
        <w:r>
          <w:rPr>
            <w:noProof/>
            <w:webHidden/>
          </w:rPr>
          <w:fldChar w:fldCharType="begin"/>
        </w:r>
        <w:r>
          <w:rPr>
            <w:noProof/>
            <w:webHidden/>
          </w:rPr>
          <w:instrText xml:space="preserve"> PAGEREF _Toc233038134 \h </w:instrText>
        </w:r>
        <w:r>
          <w:rPr>
            <w:noProof/>
            <w:webHidden/>
          </w:rPr>
        </w:r>
        <w:r>
          <w:rPr>
            <w:noProof/>
            <w:webHidden/>
          </w:rPr>
          <w:fldChar w:fldCharType="separate"/>
        </w:r>
        <w:r>
          <w:rPr>
            <w:noProof/>
            <w:webHidden/>
          </w:rPr>
          <w:t>4</w:t>
        </w:r>
        <w:r>
          <w:rPr>
            <w:noProof/>
            <w:webHidden/>
          </w:rPr>
          <w:fldChar w:fldCharType="end"/>
        </w:r>
      </w:hyperlink>
    </w:p>
    <w:p w14:paraId="3FFCB264" w14:textId="3365CCA6" w:rsidR="00C72DBA" w:rsidRDefault="00C72DBA">
      <w:pPr>
        <w:pStyle w:val="TOC1"/>
        <w:tabs>
          <w:tab w:val="left" w:pos="480"/>
          <w:tab w:val="right" w:leader="dot" w:pos="9350"/>
        </w:tabs>
        <w:rPr>
          <w:rFonts w:eastAsiaTheme="minorEastAsia"/>
          <w:noProof/>
          <w:kern w:val="2"/>
          <w:sz w:val="24"/>
          <w:szCs w:val="24"/>
          <w:lang w:eastAsia="en-GB"/>
        </w:rPr>
      </w:pPr>
      <w:hyperlink w:anchor="_Toc233038135" w:history="1">
        <w:r w:rsidRPr="00B26410">
          <w:rPr>
            <w:rStyle w:val="Hyperlink"/>
            <w:noProof/>
          </w:rPr>
          <w:t>7.</w:t>
        </w:r>
        <w:r>
          <w:rPr>
            <w:rFonts w:eastAsiaTheme="minorEastAsia"/>
            <w:noProof/>
            <w:kern w:val="2"/>
            <w:sz w:val="24"/>
            <w:szCs w:val="24"/>
            <w:lang w:eastAsia="en-GB"/>
          </w:rPr>
          <w:tab/>
        </w:r>
        <w:r w:rsidRPr="00B26410">
          <w:rPr>
            <w:rStyle w:val="Hyperlink"/>
            <w:noProof/>
          </w:rPr>
          <w:t>Systems and Access</w:t>
        </w:r>
        <w:r>
          <w:rPr>
            <w:noProof/>
            <w:webHidden/>
          </w:rPr>
          <w:tab/>
        </w:r>
        <w:r>
          <w:rPr>
            <w:noProof/>
            <w:webHidden/>
          </w:rPr>
          <w:fldChar w:fldCharType="begin"/>
        </w:r>
        <w:r>
          <w:rPr>
            <w:noProof/>
            <w:webHidden/>
          </w:rPr>
          <w:instrText xml:space="preserve"> PAGEREF _Toc233038135 \h </w:instrText>
        </w:r>
        <w:r>
          <w:rPr>
            <w:noProof/>
            <w:webHidden/>
          </w:rPr>
        </w:r>
        <w:r>
          <w:rPr>
            <w:noProof/>
            <w:webHidden/>
          </w:rPr>
          <w:fldChar w:fldCharType="separate"/>
        </w:r>
        <w:r>
          <w:rPr>
            <w:noProof/>
            <w:webHidden/>
          </w:rPr>
          <w:t>5</w:t>
        </w:r>
        <w:r>
          <w:rPr>
            <w:noProof/>
            <w:webHidden/>
          </w:rPr>
          <w:fldChar w:fldCharType="end"/>
        </w:r>
      </w:hyperlink>
    </w:p>
    <w:p w14:paraId="5C548244" w14:textId="45C713D1" w:rsidR="00C72DBA" w:rsidRDefault="00C72DBA">
      <w:pPr>
        <w:pStyle w:val="TOC1"/>
        <w:tabs>
          <w:tab w:val="left" w:pos="480"/>
          <w:tab w:val="right" w:leader="dot" w:pos="9350"/>
        </w:tabs>
        <w:rPr>
          <w:rFonts w:eastAsiaTheme="minorEastAsia"/>
          <w:noProof/>
          <w:kern w:val="2"/>
          <w:sz w:val="24"/>
          <w:szCs w:val="24"/>
          <w:lang w:eastAsia="en-GB"/>
        </w:rPr>
      </w:pPr>
      <w:hyperlink w:anchor="_Toc233038136" w:history="1">
        <w:r w:rsidRPr="00B26410">
          <w:rPr>
            <w:rStyle w:val="Hyperlink"/>
            <w:noProof/>
          </w:rPr>
          <w:t>8.</w:t>
        </w:r>
        <w:r>
          <w:rPr>
            <w:rFonts w:eastAsiaTheme="minorEastAsia"/>
            <w:noProof/>
            <w:kern w:val="2"/>
            <w:sz w:val="24"/>
            <w:szCs w:val="24"/>
            <w:lang w:eastAsia="en-GB"/>
          </w:rPr>
          <w:tab/>
        </w:r>
        <w:r w:rsidRPr="00B26410">
          <w:rPr>
            <w:rStyle w:val="Hyperlink"/>
            <w:noProof/>
          </w:rPr>
          <w:t>Compliance</w:t>
        </w:r>
        <w:r>
          <w:rPr>
            <w:noProof/>
            <w:webHidden/>
          </w:rPr>
          <w:tab/>
        </w:r>
        <w:r>
          <w:rPr>
            <w:noProof/>
            <w:webHidden/>
          </w:rPr>
          <w:fldChar w:fldCharType="begin"/>
        </w:r>
        <w:r>
          <w:rPr>
            <w:noProof/>
            <w:webHidden/>
          </w:rPr>
          <w:instrText xml:space="preserve"> PAGEREF _Toc233038136 \h </w:instrText>
        </w:r>
        <w:r>
          <w:rPr>
            <w:noProof/>
            <w:webHidden/>
          </w:rPr>
        </w:r>
        <w:r>
          <w:rPr>
            <w:noProof/>
            <w:webHidden/>
          </w:rPr>
          <w:fldChar w:fldCharType="separate"/>
        </w:r>
        <w:r>
          <w:rPr>
            <w:noProof/>
            <w:webHidden/>
          </w:rPr>
          <w:t>5</w:t>
        </w:r>
        <w:r>
          <w:rPr>
            <w:noProof/>
            <w:webHidden/>
          </w:rPr>
          <w:fldChar w:fldCharType="end"/>
        </w:r>
      </w:hyperlink>
    </w:p>
    <w:p w14:paraId="31163FAC" w14:textId="75157B97" w:rsidR="00C72DBA" w:rsidRDefault="00C72DBA">
      <w:pPr>
        <w:pStyle w:val="TOC1"/>
        <w:tabs>
          <w:tab w:val="left" w:pos="480"/>
          <w:tab w:val="right" w:leader="dot" w:pos="9350"/>
        </w:tabs>
        <w:rPr>
          <w:rFonts w:eastAsiaTheme="minorEastAsia"/>
          <w:noProof/>
          <w:kern w:val="2"/>
          <w:sz w:val="24"/>
          <w:szCs w:val="24"/>
          <w:lang w:eastAsia="en-GB"/>
        </w:rPr>
      </w:pPr>
      <w:hyperlink w:anchor="_Toc233038137" w:history="1">
        <w:r w:rsidRPr="00B26410">
          <w:rPr>
            <w:rStyle w:val="Hyperlink"/>
            <w:noProof/>
          </w:rPr>
          <w:t>9.</w:t>
        </w:r>
        <w:r>
          <w:rPr>
            <w:rFonts w:eastAsiaTheme="minorEastAsia"/>
            <w:noProof/>
            <w:kern w:val="2"/>
            <w:sz w:val="24"/>
            <w:szCs w:val="24"/>
            <w:lang w:eastAsia="en-GB"/>
          </w:rPr>
          <w:tab/>
        </w:r>
        <w:r w:rsidRPr="00B26410">
          <w:rPr>
            <w:rStyle w:val="Hyperlink"/>
            <w:noProof/>
          </w:rPr>
          <w:t>Document Control</w:t>
        </w:r>
        <w:r>
          <w:rPr>
            <w:noProof/>
            <w:webHidden/>
          </w:rPr>
          <w:tab/>
        </w:r>
        <w:r>
          <w:rPr>
            <w:noProof/>
            <w:webHidden/>
          </w:rPr>
          <w:fldChar w:fldCharType="begin"/>
        </w:r>
        <w:r>
          <w:rPr>
            <w:noProof/>
            <w:webHidden/>
          </w:rPr>
          <w:instrText xml:space="preserve"> PAGEREF _Toc233038137 \h </w:instrText>
        </w:r>
        <w:r>
          <w:rPr>
            <w:noProof/>
            <w:webHidden/>
          </w:rPr>
        </w:r>
        <w:r>
          <w:rPr>
            <w:noProof/>
            <w:webHidden/>
          </w:rPr>
          <w:fldChar w:fldCharType="separate"/>
        </w:r>
        <w:r>
          <w:rPr>
            <w:noProof/>
            <w:webHidden/>
          </w:rPr>
          <w:t>5</w:t>
        </w:r>
        <w:r>
          <w:rPr>
            <w:noProof/>
            <w:webHidden/>
          </w:rPr>
          <w:fldChar w:fldCharType="end"/>
        </w:r>
      </w:hyperlink>
    </w:p>
    <w:p w14:paraId="101B895F" w14:textId="3D958293" w:rsidR="005220FA" w:rsidRPr="005220FA" w:rsidRDefault="00C376FB" w:rsidP="005D1D17">
      <w:r>
        <w:fldChar w:fldCharType="end"/>
      </w:r>
    </w:p>
    <w:p w14:paraId="0950899E" w14:textId="77777777" w:rsidR="00132826" w:rsidRPr="00132826" w:rsidRDefault="00132826" w:rsidP="005D1D17"/>
    <w:p w14:paraId="0600AB95" w14:textId="77777777" w:rsidR="00B17524" w:rsidRDefault="00B17524" w:rsidP="005D1D17">
      <w:pPr>
        <w:rPr>
          <w:rFonts w:ascii="Poppins" w:eastAsiaTheme="majorEastAsia" w:hAnsi="Poppins" w:cs="Poppins"/>
          <w:color w:val="0F4761" w:themeColor="accent1" w:themeShade="BF"/>
          <w:sz w:val="32"/>
          <w:szCs w:val="32"/>
        </w:rPr>
      </w:pPr>
      <w:r>
        <w:br w:type="page"/>
      </w:r>
    </w:p>
    <w:p w14:paraId="5B4EB70B" w14:textId="53C92722" w:rsidR="00A370ED" w:rsidRPr="00A370ED" w:rsidRDefault="00A370ED" w:rsidP="00A370ED">
      <w:pPr>
        <w:pStyle w:val="Heading1"/>
      </w:pPr>
      <w:bookmarkStart w:id="1" w:name="_Toc233038129"/>
      <w:r w:rsidRPr="00A370ED">
        <w:t>Purpose</w:t>
      </w:r>
      <w:bookmarkEnd w:id="1"/>
    </w:p>
    <w:p w14:paraId="75D0F609" w14:textId="77777777" w:rsidR="00A370ED" w:rsidRPr="00A370ED" w:rsidRDefault="00A370ED" w:rsidP="00A370ED">
      <w:r w:rsidRPr="00A370ED">
        <w:t xml:space="preserve">This policy outlines the organisation’s approach to information sharing with family members and other third parties in relation to clients’ financial and personal information. It ensures that client interests, privacy, and safeguarding responsibilities </w:t>
      </w:r>
      <w:proofErr w:type="gramStart"/>
      <w:r w:rsidRPr="00A370ED">
        <w:t>remain paramount at all times</w:t>
      </w:r>
      <w:proofErr w:type="gramEnd"/>
      <w:r w:rsidRPr="00A370ED">
        <w:t>.</w:t>
      </w:r>
    </w:p>
    <w:p w14:paraId="6C7BBDB0" w14:textId="0BD47D50" w:rsidR="00A370ED" w:rsidRPr="00A370ED" w:rsidRDefault="00A370ED" w:rsidP="00A370ED">
      <w:pPr>
        <w:pStyle w:val="Heading1"/>
      </w:pPr>
      <w:bookmarkStart w:id="2" w:name="_Toc233038130"/>
      <w:r w:rsidRPr="00A370ED">
        <w:t>Principles</w:t>
      </w:r>
      <w:bookmarkEnd w:id="2"/>
    </w:p>
    <w:p w14:paraId="6229040B" w14:textId="77777777" w:rsidR="00A370ED" w:rsidRPr="00A370ED" w:rsidRDefault="00A370ED" w:rsidP="00A370ED">
      <w:r w:rsidRPr="00A370ED">
        <w:t>We recognise the importance of engaging with family members and trusted individuals when acting in the best interests of a client. However, our role does not create an automatic obligation to share client information with third parties.</w:t>
      </w:r>
    </w:p>
    <w:p w14:paraId="5A8D049E" w14:textId="77777777" w:rsidR="00A370ED" w:rsidRPr="00A370ED" w:rsidRDefault="00A370ED" w:rsidP="00A370ED">
      <w:r w:rsidRPr="00A370ED">
        <w:t>We are committed to:</w:t>
      </w:r>
    </w:p>
    <w:p w14:paraId="6EF70D71" w14:textId="77777777" w:rsidR="00A370ED" w:rsidRPr="00A370ED" w:rsidRDefault="00A370ED" w:rsidP="00A370ED">
      <w:pPr>
        <w:numPr>
          <w:ilvl w:val="0"/>
          <w:numId w:val="5"/>
        </w:numPr>
      </w:pPr>
      <w:r w:rsidRPr="00A370ED">
        <w:t>Protecting client confidentiality</w:t>
      </w:r>
    </w:p>
    <w:p w14:paraId="16CBA569" w14:textId="77777777" w:rsidR="00A370ED" w:rsidRPr="00A370ED" w:rsidRDefault="00A370ED" w:rsidP="00A370ED">
      <w:pPr>
        <w:numPr>
          <w:ilvl w:val="0"/>
          <w:numId w:val="5"/>
        </w:numPr>
      </w:pPr>
      <w:r w:rsidRPr="00A370ED">
        <w:t>Safeguarding clients from financial abuse</w:t>
      </w:r>
    </w:p>
    <w:p w14:paraId="1D955C47" w14:textId="77777777" w:rsidR="00A370ED" w:rsidRPr="00A370ED" w:rsidRDefault="00A370ED" w:rsidP="00A370ED">
      <w:pPr>
        <w:numPr>
          <w:ilvl w:val="0"/>
          <w:numId w:val="5"/>
        </w:numPr>
      </w:pPr>
      <w:r w:rsidRPr="00A370ED">
        <w:t>Maintaining clear boundaries regarding external involvement</w:t>
      </w:r>
    </w:p>
    <w:p w14:paraId="0601CCF0" w14:textId="77777777" w:rsidR="00A370ED" w:rsidRPr="00A370ED" w:rsidRDefault="00A370ED" w:rsidP="00A370ED">
      <w:pPr>
        <w:numPr>
          <w:ilvl w:val="0"/>
          <w:numId w:val="5"/>
        </w:numPr>
      </w:pPr>
      <w:r w:rsidRPr="00A370ED">
        <w:t>Complying fully with GDPR and other relevant legislation</w:t>
      </w:r>
    </w:p>
    <w:p w14:paraId="0E1FCF0F" w14:textId="77777777" w:rsidR="00A370ED" w:rsidRPr="00A370ED" w:rsidRDefault="00A370ED" w:rsidP="00A370ED">
      <w:r w:rsidRPr="00A370ED">
        <w:t>We acknowledge and appreciate those who respect these boundaries.</w:t>
      </w:r>
    </w:p>
    <w:p w14:paraId="75572AF1" w14:textId="77AE606C" w:rsidR="00A370ED" w:rsidRPr="00A370ED" w:rsidRDefault="00A370ED" w:rsidP="00A370ED">
      <w:pPr>
        <w:pStyle w:val="Heading1"/>
      </w:pPr>
      <w:bookmarkStart w:id="3" w:name="_Toc233038131"/>
      <w:r w:rsidRPr="00A370ED">
        <w:t>Safeguarding Context</w:t>
      </w:r>
      <w:bookmarkEnd w:id="3"/>
    </w:p>
    <w:p w14:paraId="2C175E1B" w14:textId="77777777" w:rsidR="00A370ED" w:rsidRPr="00A370ED" w:rsidRDefault="00A370ED" w:rsidP="00A370ED">
      <w:r w:rsidRPr="00A370ED">
        <w:t>Many clients referred to our services have experienced, or are at risk of, financial abuse—often involving family members or caregivers. As such, a cautious and controlled approach to sharing information is essential.</w:t>
      </w:r>
    </w:p>
    <w:p w14:paraId="178203B5" w14:textId="77777777" w:rsidR="00A370ED" w:rsidRPr="00A370ED" w:rsidRDefault="00A370ED" w:rsidP="00A370ED">
      <w:r w:rsidRPr="00A370ED">
        <w:t>Access to client information will therefore only be granted where:</w:t>
      </w:r>
    </w:p>
    <w:p w14:paraId="71D4FEAF" w14:textId="77777777" w:rsidR="00A370ED" w:rsidRPr="00A370ED" w:rsidRDefault="00A370ED" w:rsidP="00A370ED">
      <w:pPr>
        <w:numPr>
          <w:ilvl w:val="0"/>
          <w:numId w:val="6"/>
        </w:numPr>
      </w:pPr>
      <w:r w:rsidRPr="00A370ED">
        <w:t>There are no identified safeguarding concerns, and</w:t>
      </w:r>
    </w:p>
    <w:p w14:paraId="133B67CD" w14:textId="77777777" w:rsidR="00A370ED" w:rsidRPr="00A370ED" w:rsidRDefault="00A370ED" w:rsidP="00A370ED">
      <w:pPr>
        <w:numPr>
          <w:ilvl w:val="0"/>
          <w:numId w:val="6"/>
        </w:numPr>
      </w:pPr>
      <w:r w:rsidRPr="00A370ED">
        <w:t>Appropriate consent and authorisation processes are followed</w:t>
      </w:r>
    </w:p>
    <w:p w14:paraId="6B381FCF" w14:textId="77777777" w:rsidR="00C72DBA" w:rsidRDefault="00C72DBA">
      <w:pPr>
        <w:rPr>
          <w:rFonts w:ascii="Poppins" w:eastAsiaTheme="majorEastAsia" w:hAnsi="Poppins" w:cs="Poppins"/>
          <w:color w:val="0F4761" w:themeColor="accent1" w:themeShade="BF"/>
          <w:sz w:val="32"/>
          <w:szCs w:val="32"/>
        </w:rPr>
      </w:pPr>
      <w:r>
        <w:br w:type="page"/>
      </w:r>
    </w:p>
    <w:p w14:paraId="6909F06C" w14:textId="71628292" w:rsidR="00A370ED" w:rsidRPr="00A370ED" w:rsidRDefault="00A370ED" w:rsidP="00A370ED">
      <w:pPr>
        <w:pStyle w:val="Heading1"/>
      </w:pPr>
      <w:bookmarkStart w:id="4" w:name="_Toc233038132"/>
      <w:r w:rsidRPr="00A370ED">
        <w:t>Family Access Request Process</w:t>
      </w:r>
      <w:bookmarkEnd w:id="4"/>
    </w:p>
    <w:p w14:paraId="3D594DFB" w14:textId="77777777" w:rsidR="00A370ED" w:rsidRPr="00A370ED" w:rsidRDefault="00A370ED" w:rsidP="00A370ED">
      <w:r w:rsidRPr="00A370ED">
        <w:t>Where it is appropriate to do so, trusted individuals may request access to selected client information through the Family Access Request process.</w:t>
      </w:r>
    </w:p>
    <w:p w14:paraId="26115B7F" w14:textId="71424BD8" w:rsidR="00A370ED" w:rsidRPr="00A370ED" w:rsidRDefault="00A370ED" w:rsidP="00A370ED">
      <w:pPr>
        <w:pStyle w:val="Heading2"/>
      </w:pPr>
      <w:r w:rsidRPr="00A370ED">
        <w:t>Authorisation</w:t>
      </w:r>
    </w:p>
    <w:p w14:paraId="02EFCB4A" w14:textId="77777777" w:rsidR="00A370ED" w:rsidRPr="00A370ED" w:rsidRDefault="00A370ED" w:rsidP="00A370ED">
      <w:pPr>
        <w:numPr>
          <w:ilvl w:val="0"/>
          <w:numId w:val="7"/>
        </w:numPr>
      </w:pPr>
      <w:r w:rsidRPr="00A370ED">
        <w:t>A Family Access Request form must be completed, signed, and submitted</w:t>
      </w:r>
    </w:p>
    <w:p w14:paraId="4456998B" w14:textId="77777777" w:rsidR="00A370ED" w:rsidRPr="00A370ED" w:rsidRDefault="00A370ED" w:rsidP="00A370ED">
      <w:pPr>
        <w:numPr>
          <w:ilvl w:val="0"/>
          <w:numId w:val="7"/>
        </w:numPr>
      </w:pPr>
      <w:r w:rsidRPr="00A370ED">
        <w:t>All requests are subject to internal review and approval</w:t>
      </w:r>
    </w:p>
    <w:p w14:paraId="494D4429" w14:textId="77777777" w:rsidR="00A370ED" w:rsidRPr="00A370ED" w:rsidRDefault="00A370ED" w:rsidP="00A370ED">
      <w:pPr>
        <w:numPr>
          <w:ilvl w:val="0"/>
          <w:numId w:val="7"/>
        </w:numPr>
      </w:pPr>
      <w:r w:rsidRPr="00A370ED">
        <w:t>Access is granted at the organisation’s discretion</w:t>
      </w:r>
    </w:p>
    <w:p w14:paraId="343CC17F" w14:textId="3A2BA7D1" w:rsidR="00A370ED" w:rsidRPr="00A370ED" w:rsidRDefault="00A370ED" w:rsidP="00A370ED">
      <w:pPr>
        <w:pStyle w:val="Heading2"/>
      </w:pPr>
      <w:r w:rsidRPr="00A370ED">
        <w:t>Secure Access</w:t>
      </w:r>
    </w:p>
    <w:p w14:paraId="19D7EE7F" w14:textId="77777777" w:rsidR="00A370ED" w:rsidRPr="00A370ED" w:rsidRDefault="00A370ED" w:rsidP="00A370ED">
      <w:r w:rsidRPr="00A370ED">
        <w:t>Once authorised:</w:t>
      </w:r>
    </w:p>
    <w:p w14:paraId="0BE52AF3" w14:textId="77777777" w:rsidR="00A370ED" w:rsidRPr="00A370ED" w:rsidRDefault="00A370ED" w:rsidP="00A370ED">
      <w:pPr>
        <w:numPr>
          <w:ilvl w:val="0"/>
          <w:numId w:val="8"/>
        </w:numPr>
      </w:pPr>
      <w:r w:rsidRPr="00A370ED">
        <w:t>The approved individual will be able to register for access via the secure portal</w:t>
      </w:r>
    </w:p>
    <w:p w14:paraId="71AD5137" w14:textId="77777777" w:rsidR="00A370ED" w:rsidRPr="00A370ED" w:rsidRDefault="00A370ED" w:rsidP="00A370ED">
      <w:pPr>
        <w:numPr>
          <w:ilvl w:val="0"/>
          <w:numId w:val="8"/>
        </w:numPr>
      </w:pPr>
      <w:r w:rsidRPr="00A370ED">
        <w:t>Access will be provided through our secure systems, including the smartphone application</w:t>
      </w:r>
    </w:p>
    <w:p w14:paraId="211199E0" w14:textId="489C9A23" w:rsidR="00A370ED" w:rsidRPr="00A370ED" w:rsidRDefault="00A370ED" w:rsidP="00A370ED">
      <w:r w:rsidRPr="00A370ED">
        <w:t xml:space="preserve">You can access the portal </w:t>
      </w:r>
      <w:r w:rsidR="00646ED9">
        <w:t>(</w:t>
      </w:r>
      <w:hyperlink r:id="rId12" w:history="1">
        <w:r w:rsidR="00646ED9" w:rsidRPr="00B950A4">
          <w:rPr>
            <w:rStyle w:val="Hyperlink"/>
          </w:rPr>
          <w:t>https://portal.moneycarer.org.uk/</w:t>
        </w:r>
      </w:hyperlink>
      <w:r w:rsidR="00646ED9">
        <w:t xml:space="preserve">) </w:t>
      </w:r>
      <w:r w:rsidRPr="00A370ED">
        <w:t xml:space="preserve">and find out more </w:t>
      </w:r>
      <w:r w:rsidR="00843C6D">
        <w:t>about</w:t>
      </w:r>
      <w:r w:rsidRPr="00A370ED">
        <w:t>:</w:t>
      </w:r>
    </w:p>
    <w:p w14:paraId="3B48F99F" w14:textId="77777777" w:rsidR="00A370ED" w:rsidRPr="00A370ED" w:rsidRDefault="00A370ED" w:rsidP="00A370ED">
      <w:hyperlink r:id="rId13" w:history="1">
        <w:proofErr w:type="spellStart"/>
        <w:r w:rsidRPr="00A370ED">
          <w:rPr>
            <w:rStyle w:val="Hyperlink"/>
          </w:rPr>
          <w:t>Appointeeship</w:t>
        </w:r>
        <w:proofErr w:type="spellEnd"/>
        <w:r w:rsidRPr="00A370ED">
          <w:rPr>
            <w:rStyle w:val="Hyperlink"/>
          </w:rPr>
          <w:t>, Deputyship, Power of Attorney, Money Management, Banking, Families, Operational and Policy</w:t>
        </w:r>
      </w:hyperlink>
    </w:p>
    <w:p w14:paraId="1B22ECAF" w14:textId="41CAED3F" w:rsidR="00A370ED" w:rsidRPr="00A370ED" w:rsidRDefault="00A370ED" w:rsidP="00A370ED">
      <w:pPr>
        <w:pStyle w:val="Heading2"/>
      </w:pPr>
      <w:r w:rsidRPr="00A370ED">
        <w:t>Information Available</w:t>
      </w:r>
    </w:p>
    <w:p w14:paraId="25DEA2E8" w14:textId="77777777" w:rsidR="00A370ED" w:rsidRPr="00A370ED" w:rsidRDefault="00A370ED" w:rsidP="00A370ED">
      <w:r w:rsidRPr="00A370ED">
        <w:t>Access is limited to information that can be shared within GDPR requirements and may include:</w:t>
      </w:r>
    </w:p>
    <w:p w14:paraId="691C73FF" w14:textId="77777777" w:rsidR="00A370ED" w:rsidRPr="00A370ED" w:rsidRDefault="00A370ED" w:rsidP="00A370ED">
      <w:pPr>
        <w:numPr>
          <w:ilvl w:val="0"/>
          <w:numId w:val="9"/>
        </w:numPr>
      </w:pPr>
      <w:r w:rsidRPr="00A370ED">
        <w:t>Benefit correspondence</w:t>
      </w:r>
    </w:p>
    <w:p w14:paraId="039AF60D" w14:textId="77777777" w:rsidR="00A370ED" w:rsidRPr="00A370ED" w:rsidRDefault="00A370ED" w:rsidP="00A370ED">
      <w:pPr>
        <w:numPr>
          <w:ilvl w:val="0"/>
          <w:numId w:val="9"/>
        </w:numPr>
      </w:pPr>
      <w:r w:rsidRPr="00A370ED">
        <w:t>Bank statements (for selected accounts)</w:t>
      </w:r>
    </w:p>
    <w:p w14:paraId="6ADE003A" w14:textId="77777777" w:rsidR="00A370ED" w:rsidRPr="00A370ED" w:rsidRDefault="00A370ED" w:rsidP="00A370ED">
      <w:pPr>
        <w:numPr>
          <w:ilvl w:val="0"/>
          <w:numId w:val="9"/>
        </w:numPr>
      </w:pPr>
      <w:r w:rsidRPr="00A370ED">
        <w:t>Other relevant financial documentation</w:t>
      </w:r>
    </w:p>
    <w:p w14:paraId="157239B8" w14:textId="77777777" w:rsidR="00C72DBA" w:rsidRDefault="00C72DBA">
      <w:pPr>
        <w:rPr>
          <w:rFonts w:ascii="Poppins" w:eastAsiaTheme="majorEastAsia" w:hAnsi="Poppins" w:cs="Poppins"/>
          <w:color w:val="0F4761" w:themeColor="accent1" w:themeShade="BF"/>
          <w:sz w:val="32"/>
          <w:szCs w:val="32"/>
        </w:rPr>
      </w:pPr>
      <w:r>
        <w:br w:type="page"/>
      </w:r>
    </w:p>
    <w:p w14:paraId="61BB910D" w14:textId="68DA300C" w:rsidR="00A370ED" w:rsidRPr="00A370ED" w:rsidRDefault="00A370ED" w:rsidP="00A370ED">
      <w:pPr>
        <w:pStyle w:val="Heading1"/>
      </w:pPr>
      <w:bookmarkStart w:id="5" w:name="_Toc233038133"/>
      <w:r w:rsidRPr="00A370ED">
        <w:t>Access Restrictions</w:t>
      </w:r>
      <w:bookmarkEnd w:id="5"/>
    </w:p>
    <w:p w14:paraId="73B893C9" w14:textId="77777777" w:rsidR="00A370ED" w:rsidRPr="00A370ED" w:rsidRDefault="00A370ED" w:rsidP="00A370ED">
      <w:r w:rsidRPr="00A370ED">
        <w:t>Access levels are strictly controlled and depend on the individual’s legal authority.</w:t>
      </w:r>
    </w:p>
    <w:p w14:paraId="0B0A6DB9" w14:textId="5D86ACE9" w:rsidR="00A370ED" w:rsidRPr="00A370ED" w:rsidRDefault="00A370ED" w:rsidP="00A370ED">
      <w:pPr>
        <w:pStyle w:val="Heading2"/>
      </w:pPr>
      <w:r w:rsidRPr="00A370ED">
        <w:t>Non-Legally Authorised Individuals</w:t>
      </w:r>
    </w:p>
    <w:p w14:paraId="2A2014AC" w14:textId="77777777" w:rsidR="00A370ED" w:rsidRPr="00A370ED" w:rsidRDefault="00A370ED" w:rsidP="00A370ED">
      <w:r w:rsidRPr="00A370ED">
        <w:t>Individuals without formal legal authority will only have access to:</w:t>
      </w:r>
    </w:p>
    <w:p w14:paraId="2BC5C262" w14:textId="77777777" w:rsidR="00A370ED" w:rsidRPr="00A370ED" w:rsidRDefault="00A370ED" w:rsidP="00A370ED">
      <w:pPr>
        <w:numPr>
          <w:ilvl w:val="0"/>
          <w:numId w:val="10"/>
        </w:numPr>
      </w:pPr>
      <w:r w:rsidRPr="00A370ED">
        <w:t>Carer Card Accounts</w:t>
      </w:r>
    </w:p>
    <w:p w14:paraId="5CBEF068" w14:textId="77777777" w:rsidR="00A370ED" w:rsidRPr="00A370ED" w:rsidRDefault="00A370ED" w:rsidP="00A370ED">
      <w:pPr>
        <w:numPr>
          <w:ilvl w:val="0"/>
          <w:numId w:val="10"/>
        </w:numPr>
      </w:pPr>
      <w:r w:rsidRPr="00A370ED">
        <w:t>Shared Carer Card Accounts</w:t>
      </w:r>
    </w:p>
    <w:p w14:paraId="2419B893" w14:textId="77777777" w:rsidR="00A370ED" w:rsidRPr="00A370ED" w:rsidRDefault="00A370ED" w:rsidP="00A370ED">
      <w:pPr>
        <w:numPr>
          <w:ilvl w:val="0"/>
          <w:numId w:val="10"/>
        </w:numPr>
      </w:pPr>
      <w:r w:rsidRPr="00A370ED">
        <w:t>Client Budget Card Accounts</w:t>
      </w:r>
    </w:p>
    <w:p w14:paraId="09CA9D5F" w14:textId="77777777" w:rsidR="00A370ED" w:rsidRPr="00A370ED" w:rsidRDefault="00A370ED" w:rsidP="00A370ED">
      <w:r w:rsidRPr="00A370ED">
        <w:t>They will not have access to full financial records, and which accounts are shared is at the discretion of Money Carer.</w:t>
      </w:r>
    </w:p>
    <w:p w14:paraId="3D04014E" w14:textId="2D30229F" w:rsidR="00A370ED" w:rsidRPr="00A370ED" w:rsidRDefault="00A370ED" w:rsidP="00A370ED">
      <w:pPr>
        <w:pStyle w:val="Heading2"/>
      </w:pPr>
      <w:r w:rsidRPr="00A370ED">
        <w:t>Legally Authorised Individuals</w:t>
      </w:r>
    </w:p>
    <w:p w14:paraId="5DB2E53A" w14:textId="77777777" w:rsidR="00A370ED" w:rsidRPr="00A370ED" w:rsidRDefault="00A370ED" w:rsidP="00A370ED">
      <w:r w:rsidRPr="00A370ED">
        <w:t>Individuals holding recognised legal authority may access full financial information. This includes:</w:t>
      </w:r>
    </w:p>
    <w:p w14:paraId="3310BE62" w14:textId="77777777" w:rsidR="00A370ED" w:rsidRPr="00A370ED" w:rsidRDefault="00A370ED" w:rsidP="00A370ED">
      <w:pPr>
        <w:numPr>
          <w:ilvl w:val="0"/>
          <w:numId w:val="11"/>
        </w:numPr>
      </w:pPr>
      <w:r w:rsidRPr="00A370ED">
        <w:t>Lasting Power of Attorney (Financial)</w:t>
      </w:r>
    </w:p>
    <w:p w14:paraId="2464870D" w14:textId="77777777" w:rsidR="00A370ED" w:rsidRPr="00A370ED" w:rsidRDefault="00A370ED" w:rsidP="00A370ED">
      <w:pPr>
        <w:numPr>
          <w:ilvl w:val="0"/>
          <w:numId w:val="11"/>
        </w:numPr>
      </w:pPr>
      <w:r w:rsidRPr="00A370ED">
        <w:t>Court of Protection Deputyship (Financial Affairs)</w:t>
      </w:r>
    </w:p>
    <w:p w14:paraId="3F9DC235" w14:textId="77777777" w:rsidR="00A370ED" w:rsidRPr="00A370ED" w:rsidRDefault="00A370ED" w:rsidP="00A370ED">
      <w:r w:rsidRPr="00A370ED">
        <w:t>Proof of legal authority must be provided and verified.</w:t>
      </w:r>
    </w:p>
    <w:p w14:paraId="223045D8" w14:textId="7B0DA388" w:rsidR="00A370ED" w:rsidRPr="00A370ED" w:rsidRDefault="00A370ED" w:rsidP="00A370ED">
      <w:pPr>
        <w:pStyle w:val="Heading1"/>
      </w:pPr>
      <w:bookmarkStart w:id="6" w:name="_Toc233038134"/>
      <w:r w:rsidRPr="00A370ED">
        <w:t>Circle of Care</w:t>
      </w:r>
      <w:bookmarkEnd w:id="6"/>
    </w:p>
    <w:p w14:paraId="30F43A19" w14:textId="77777777" w:rsidR="00A370ED" w:rsidRPr="00A370ED" w:rsidRDefault="00A370ED" w:rsidP="00A370ED">
      <w:r w:rsidRPr="00A370ED">
        <w:t>Authorised individuals are added to a Circle of Care, which may include:</w:t>
      </w:r>
    </w:p>
    <w:p w14:paraId="2465A7A0" w14:textId="77777777" w:rsidR="00A370ED" w:rsidRPr="00A370ED" w:rsidRDefault="00A370ED" w:rsidP="00A370ED">
      <w:pPr>
        <w:numPr>
          <w:ilvl w:val="0"/>
          <w:numId w:val="12"/>
        </w:numPr>
      </w:pPr>
      <w:r w:rsidRPr="00A370ED">
        <w:t>Family members</w:t>
      </w:r>
    </w:p>
    <w:p w14:paraId="6ADC7718" w14:textId="77777777" w:rsidR="00A370ED" w:rsidRPr="00A370ED" w:rsidRDefault="00A370ED" w:rsidP="00A370ED">
      <w:pPr>
        <w:numPr>
          <w:ilvl w:val="0"/>
          <w:numId w:val="12"/>
        </w:numPr>
      </w:pPr>
      <w:r w:rsidRPr="00A370ED">
        <w:t>Trusted carers</w:t>
      </w:r>
    </w:p>
    <w:p w14:paraId="26D1C8FC" w14:textId="77777777" w:rsidR="00A370ED" w:rsidRPr="00A370ED" w:rsidRDefault="00A370ED" w:rsidP="00A370ED">
      <w:pPr>
        <w:numPr>
          <w:ilvl w:val="0"/>
          <w:numId w:val="12"/>
        </w:numPr>
      </w:pPr>
      <w:r w:rsidRPr="00A370ED">
        <w:t>Relevant professionals and authorities</w:t>
      </w:r>
    </w:p>
    <w:p w14:paraId="5918295D" w14:textId="77777777" w:rsidR="00A370ED" w:rsidRPr="00A370ED" w:rsidRDefault="00A370ED" w:rsidP="00A370ED">
      <w:r w:rsidRPr="00A370ED">
        <w:t xml:space="preserve">Members of the Circle of Care are granted appropriate, role-based access to features within our specialist banking platform, </w:t>
      </w:r>
      <w:hyperlink r:id="rId14" w:history="1">
        <w:r w:rsidRPr="00A370ED">
          <w:rPr>
            <w:rStyle w:val="Hyperlink"/>
          </w:rPr>
          <w:t>Monika.</w:t>
        </w:r>
      </w:hyperlink>
    </w:p>
    <w:p w14:paraId="2438B218" w14:textId="77777777" w:rsidR="00C72DBA" w:rsidRDefault="00C72DBA">
      <w:pPr>
        <w:rPr>
          <w:rFonts w:ascii="Poppins" w:eastAsiaTheme="majorEastAsia" w:hAnsi="Poppins" w:cs="Poppins"/>
          <w:color w:val="0F4761" w:themeColor="accent1" w:themeShade="BF"/>
          <w:sz w:val="32"/>
          <w:szCs w:val="32"/>
        </w:rPr>
      </w:pPr>
      <w:r>
        <w:br w:type="page"/>
      </w:r>
    </w:p>
    <w:p w14:paraId="0EF7A902" w14:textId="5A1CF6E6" w:rsidR="00A370ED" w:rsidRPr="00A370ED" w:rsidRDefault="00A370ED" w:rsidP="00A370ED">
      <w:pPr>
        <w:pStyle w:val="Heading1"/>
      </w:pPr>
      <w:bookmarkStart w:id="7" w:name="_Toc233038135"/>
      <w:r w:rsidRPr="00A370ED">
        <w:t>Systems and Access</w:t>
      </w:r>
      <w:bookmarkEnd w:id="7"/>
    </w:p>
    <w:p w14:paraId="4E1B6B7F" w14:textId="77777777" w:rsidR="00A370ED" w:rsidRPr="00A370ED" w:rsidRDefault="00A370ED" w:rsidP="00A370ED">
      <w:r w:rsidRPr="00A370ED">
        <w:t>Authorised users can access permitted information through:</w:t>
      </w:r>
    </w:p>
    <w:p w14:paraId="0CF7C2B4" w14:textId="77777777" w:rsidR="00A370ED" w:rsidRPr="00A370ED" w:rsidRDefault="00A370ED" w:rsidP="00A370ED">
      <w:pPr>
        <w:numPr>
          <w:ilvl w:val="0"/>
          <w:numId w:val="13"/>
        </w:numPr>
      </w:pPr>
      <w:r w:rsidRPr="00A370ED">
        <w:t>The secure online portal</w:t>
      </w:r>
    </w:p>
    <w:p w14:paraId="17F52585" w14:textId="77777777" w:rsidR="00A370ED" w:rsidRPr="00A370ED" w:rsidRDefault="00A370ED" w:rsidP="00A370ED">
      <w:pPr>
        <w:numPr>
          <w:ilvl w:val="0"/>
          <w:numId w:val="13"/>
        </w:numPr>
      </w:pPr>
      <w:r w:rsidRPr="00A370ED">
        <w:t>The organisation’s mobile application</w:t>
      </w:r>
    </w:p>
    <w:p w14:paraId="32AD26A6" w14:textId="77777777" w:rsidR="00A370ED" w:rsidRPr="00A370ED" w:rsidRDefault="00A370ED" w:rsidP="00A370ED">
      <w:r w:rsidRPr="00A370ED">
        <w:t>All access is monitored and managed in accordance with data protection and security policies.</w:t>
      </w:r>
    </w:p>
    <w:p w14:paraId="37B08526" w14:textId="17CC8029" w:rsidR="00A370ED" w:rsidRPr="00A370ED" w:rsidRDefault="00A370ED" w:rsidP="00A370ED">
      <w:pPr>
        <w:pStyle w:val="Heading1"/>
      </w:pPr>
      <w:bookmarkStart w:id="8" w:name="_Toc233038136"/>
      <w:r w:rsidRPr="00A370ED">
        <w:t>Compliance</w:t>
      </w:r>
      <w:bookmarkEnd w:id="8"/>
    </w:p>
    <w:p w14:paraId="09F0CA4A" w14:textId="77777777" w:rsidR="00A370ED" w:rsidRPr="00A370ED" w:rsidRDefault="00A370ED" w:rsidP="00A370ED">
      <w:r w:rsidRPr="00A370ED">
        <w:t>This policy aligns with:</w:t>
      </w:r>
    </w:p>
    <w:p w14:paraId="758D374C" w14:textId="77777777" w:rsidR="00A370ED" w:rsidRPr="00A370ED" w:rsidRDefault="00A370ED" w:rsidP="00A370ED">
      <w:pPr>
        <w:numPr>
          <w:ilvl w:val="0"/>
          <w:numId w:val="14"/>
        </w:numPr>
      </w:pPr>
      <w:r w:rsidRPr="00A370ED">
        <w:t>GDPR and data protection legislation</w:t>
      </w:r>
    </w:p>
    <w:p w14:paraId="458F4436" w14:textId="77777777" w:rsidR="00A370ED" w:rsidRPr="00A370ED" w:rsidRDefault="00A370ED" w:rsidP="00A370ED">
      <w:pPr>
        <w:numPr>
          <w:ilvl w:val="0"/>
          <w:numId w:val="14"/>
        </w:numPr>
      </w:pPr>
      <w:r w:rsidRPr="00A370ED">
        <w:t>Safeguarding obligations</w:t>
      </w:r>
    </w:p>
    <w:p w14:paraId="2438B126" w14:textId="77777777" w:rsidR="00A370ED" w:rsidRPr="00A370ED" w:rsidRDefault="00A370ED" w:rsidP="00A370ED">
      <w:pPr>
        <w:numPr>
          <w:ilvl w:val="0"/>
          <w:numId w:val="14"/>
        </w:numPr>
      </w:pPr>
      <w:r w:rsidRPr="00A370ED">
        <w:t>Internal information governance standards</w:t>
      </w:r>
    </w:p>
    <w:p w14:paraId="079E93C0" w14:textId="2FE6274E" w:rsidR="003C166C" w:rsidRDefault="003C166C" w:rsidP="005D1D17">
      <w:pPr>
        <w:pStyle w:val="Heading1"/>
        <w:keepNext w:val="0"/>
        <w:keepLines w:val="0"/>
      </w:pPr>
      <w:bookmarkStart w:id="9" w:name="_Toc233038137"/>
      <w:r>
        <w:t>Document Control</w:t>
      </w:r>
      <w:bookmarkEnd w:id="9"/>
    </w:p>
    <w:tbl>
      <w:tblPr>
        <w:tblStyle w:val="TableGrid"/>
        <w:tblW w:w="0" w:type="auto"/>
        <w:tblLayout w:type="fixed"/>
        <w:tblLook w:val="04A0" w:firstRow="1" w:lastRow="0" w:firstColumn="1" w:lastColumn="0" w:noHBand="0" w:noVBand="1"/>
      </w:tblPr>
      <w:tblGrid>
        <w:gridCol w:w="1803"/>
        <w:gridCol w:w="1878"/>
        <w:gridCol w:w="2126"/>
        <w:gridCol w:w="3543"/>
      </w:tblGrid>
      <w:tr w:rsidR="003C166C" w:rsidRPr="001A45DE" w14:paraId="5677A9FD" w14:textId="77777777" w:rsidTr="0014670F">
        <w:tc>
          <w:tcPr>
            <w:tcW w:w="1803" w:type="dxa"/>
            <w:tcBorders>
              <w:top w:val="single" w:sz="4" w:space="0" w:color="auto"/>
              <w:left w:val="single" w:sz="4" w:space="0" w:color="auto"/>
              <w:bottom w:val="single" w:sz="4" w:space="0" w:color="auto"/>
              <w:right w:val="single" w:sz="4" w:space="0" w:color="auto"/>
            </w:tcBorders>
            <w:vAlign w:val="center"/>
            <w:hideMark/>
          </w:tcPr>
          <w:p w14:paraId="3D2DE982" w14:textId="77777777" w:rsidR="003C166C" w:rsidRPr="001A45DE" w:rsidRDefault="003C166C" w:rsidP="005D1D17">
            <w:pPr>
              <w:spacing w:before="120" w:after="120" w:line="259" w:lineRule="auto"/>
              <w:ind w:left="316"/>
              <w:rPr>
                <w:rFonts w:ascii="Poppins" w:hAnsi="Poppins" w:cs="Poppins"/>
                <w:b/>
                <w:bCs/>
              </w:rPr>
            </w:pPr>
            <w:r>
              <w:rPr>
                <w:rFonts w:ascii="Poppins" w:hAnsi="Poppins" w:cs="Poppins"/>
                <w:b/>
                <w:bCs/>
              </w:rPr>
              <w:t>Issue No</w:t>
            </w:r>
          </w:p>
        </w:tc>
        <w:tc>
          <w:tcPr>
            <w:tcW w:w="1878" w:type="dxa"/>
            <w:tcBorders>
              <w:top w:val="single" w:sz="4" w:space="0" w:color="auto"/>
              <w:left w:val="single" w:sz="4" w:space="0" w:color="auto"/>
              <w:bottom w:val="single" w:sz="4" w:space="0" w:color="auto"/>
              <w:right w:val="single" w:sz="4" w:space="0" w:color="auto"/>
            </w:tcBorders>
            <w:vAlign w:val="center"/>
            <w:hideMark/>
          </w:tcPr>
          <w:p w14:paraId="2563FB91" w14:textId="77777777" w:rsidR="003C166C" w:rsidRPr="001A45DE" w:rsidRDefault="003C166C" w:rsidP="005D1D17">
            <w:pPr>
              <w:spacing w:before="120" w:after="120" w:line="259" w:lineRule="auto"/>
              <w:ind w:left="316"/>
              <w:rPr>
                <w:rFonts w:ascii="Poppins" w:hAnsi="Poppins" w:cs="Poppins"/>
                <w:b/>
                <w:bCs/>
              </w:rPr>
            </w:pPr>
            <w:r w:rsidRPr="001A45DE">
              <w:rPr>
                <w:rFonts w:ascii="Poppins" w:hAnsi="Poppins" w:cs="Poppins"/>
                <w:b/>
                <w:bCs/>
              </w:rPr>
              <w:t>Date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7B6AD44" w14:textId="77777777" w:rsidR="003C166C" w:rsidRPr="001A45DE" w:rsidRDefault="003C166C" w:rsidP="005D1D17">
            <w:pPr>
              <w:spacing w:before="120" w:after="120" w:line="259" w:lineRule="auto"/>
              <w:ind w:left="316"/>
              <w:rPr>
                <w:rFonts w:ascii="Poppins" w:hAnsi="Poppins" w:cs="Poppins"/>
                <w:b/>
                <w:bCs/>
              </w:rPr>
            </w:pPr>
            <w:r w:rsidRPr="001A45DE">
              <w:rPr>
                <w:rFonts w:ascii="Poppins" w:hAnsi="Poppins" w:cs="Poppins"/>
                <w:b/>
                <w:bCs/>
              </w:rPr>
              <w:t>Name</w:t>
            </w:r>
          </w:p>
        </w:tc>
        <w:tc>
          <w:tcPr>
            <w:tcW w:w="3543" w:type="dxa"/>
            <w:tcBorders>
              <w:top w:val="single" w:sz="4" w:space="0" w:color="auto"/>
              <w:left w:val="single" w:sz="4" w:space="0" w:color="auto"/>
              <w:bottom w:val="single" w:sz="4" w:space="0" w:color="auto"/>
              <w:right w:val="single" w:sz="4" w:space="0" w:color="auto"/>
            </w:tcBorders>
            <w:vAlign w:val="center"/>
            <w:hideMark/>
          </w:tcPr>
          <w:p w14:paraId="0621B70A" w14:textId="77777777" w:rsidR="003C166C" w:rsidRPr="001A45DE" w:rsidRDefault="003C166C" w:rsidP="005D1D17">
            <w:pPr>
              <w:spacing w:before="120" w:after="120" w:line="259" w:lineRule="auto"/>
              <w:ind w:left="316"/>
              <w:rPr>
                <w:rFonts w:ascii="Poppins" w:hAnsi="Poppins" w:cs="Poppins"/>
                <w:b/>
                <w:bCs/>
              </w:rPr>
            </w:pPr>
            <w:r w:rsidRPr="001A45DE">
              <w:rPr>
                <w:rFonts w:ascii="Poppins" w:hAnsi="Poppins" w:cs="Poppins"/>
                <w:b/>
                <w:bCs/>
              </w:rPr>
              <w:t>Comments</w:t>
            </w:r>
          </w:p>
        </w:tc>
      </w:tr>
      <w:tr w:rsidR="003C166C" w:rsidRPr="001A45DE" w14:paraId="33145513" w14:textId="77777777" w:rsidTr="0014670F">
        <w:tc>
          <w:tcPr>
            <w:tcW w:w="1803" w:type="dxa"/>
            <w:tcBorders>
              <w:top w:val="single" w:sz="4" w:space="0" w:color="auto"/>
              <w:left w:val="single" w:sz="4" w:space="0" w:color="auto"/>
              <w:bottom w:val="single" w:sz="4" w:space="0" w:color="auto"/>
              <w:right w:val="single" w:sz="4" w:space="0" w:color="auto"/>
            </w:tcBorders>
            <w:vAlign w:val="center"/>
          </w:tcPr>
          <w:p w14:paraId="47C120F5" w14:textId="77777777" w:rsidR="003C166C" w:rsidRPr="001A45DE" w:rsidRDefault="003C166C" w:rsidP="005D1D17">
            <w:r>
              <w:t>1.0</w:t>
            </w:r>
          </w:p>
        </w:tc>
        <w:tc>
          <w:tcPr>
            <w:tcW w:w="1878" w:type="dxa"/>
            <w:tcBorders>
              <w:top w:val="single" w:sz="4" w:space="0" w:color="auto"/>
              <w:left w:val="single" w:sz="4" w:space="0" w:color="auto"/>
              <w:bottom w:val="single" w:sz="4" w:space="0" w:color="auto"/>
              <w:right w:val="single" w:sz="4" w:space="0" w:color="auto"/>
            </w:tcBorders>
            <w:vAlign w:val="center"/>
          </w:tcPr>
          <w:p w14:paraId="571A2CDF" w14:textId="43DA9A6D" w:rsidR="003C166C" w:rsidRPr="001A45DE" w:rsidRDefault="00BB5840" w:rsidP="005D1D17">
            <w:r>
              <w:t>June</w:t>
            </w:r>
            <w:r w:rsidR="003C166C">
              <w:t>20</w:t>
            </w:r>
            <w:r w:rsidR="00DB05EC">
              <w:t>26</w:t>
            </w:r>
          </w:p>
        </w:tc>
        <w:tc>
          <w:tcPr>
            <w:tcW w:w="2126" w:type="dxa"/>
            <w:tcBorders>
              <w:top w:val="single" w:sz="4" w:space="0" w:color="auto"/>
              <w:left w:val="single" w:sz="4" w:space="0" w:color="auto"/>
              <w:bottom w:val="single" w:sz="4" w:space="0" w:color="auto"/>
              <w:right w:val="single" w:sz="4" w:space="0" w:color="auto"/>
            </w:tcBorders>
            <w:vAlign w:val="center"/>
          </w:tcPr>
          <w:p w14:paraId="223846FF" w14:textId="215AB801" w:rsidR="003C166C" w:rsidRPr="001A45DE" w:rsidRDefault="00752222" w:rsidP="005D1D17">
            <w:r>
              <w:t>Natalie Harris</w:t>
            </w:r>
          </w:p>
        </w:tc>
        <w:tc>
          <w:tcPr>
            <w:tcW w:w="3543" w:type="dxa"/>
            <w:tcBorders>
              <w:top w:val="single" w:sz="4" w:space="0" w:color="auto"/>
              <w:left w:val="single" w:sz="4" w:space="0" w:color="auto"/>
              <w:bottom w:val="single" w:sz="4" w:space="0" w:color="auto"/>
              <w:right w:val="single" w:sz="4" w:space="0" w:color="auto"/>
            </w:tcBorders>
            <w:vAlign w:val="center"/>
          </w:tcPr>
          <w:p w14:paraId="64087243" w14:textId="53A43089" w:rsidR="003C166C" w:rsidRPr="001A45DE" w:rsidRDefault="003C166C" w:rsidP="005D1D17">
            <w:r>
              <w:t xml:space="preserve">Initial </w:t>
            </w:r>
            <w:r w:rsidR="00752222">
              <w:t>Version</w:t>
            </w:r>
          </w:p>
        </w:tc>
      </w:tr>
      <w:tr w:rsidR="003C166C" w:rsidRPr="001A45DE" w14:paraId="6696290E" w14:textId="77777777" w:rsidTr="0014670F">
        <w:tc>
          <w:tcPr>
            <w:tcW w:w="1803" w:type="dxa"/>
            <w:tcBorders>
              <w:top w:val="single" w:sz="4" w:space="0" w:color="auto"/>
              <w:left w:val="single" w:sz="4" w:space="0" w:color="auto"/>
              <w:bottom w:val="single" w:sz="4" w:space="0" w:color="auto"/>
              <w:right w:val="single" w:sz="4" w:space="0" w:color="auto"/>
            </w:tcBorders>
            <w:vAlign w:val="center"/>
          </w:tcPr>
          <w:p w14:paraId="2E10807C" w14:textId="2DC11EA8" w:rsidR="003C166C" w:rsidRDefault="00752222" w:rsidP="005D1D17">
            <w:r>
              <w:t>1.1</w:t>
            </w:r>
          </w:p>
        </w:tc>
        <w:tc>
          <w:tcPr>
            <w:tcW w:w="1878" w:type="dxa"/>
            <w:tcBorders>
              <w:top w:val="single" w:sz="4" w:space="0" w:color="auto"/>
              <w:left w:val="single" w:sz="4" w:space="0" w:color="auto"/>
              <w:bottom w:val="single" w:sz="4" w:space="0" w:color="auto"/>
              <w:right w:val="single" w:sz="4" w:space="0" w:color="auto"/>
            </w:tcBorders>
            <w:vAlign w:val="center"/>
          </w:tcPr>
          <w:p w14:paraId="4A1DF2EF" w14:textId="23147B1C" w:rsidR="003C166C" w:rsidRDefault="00BB5840" w:rsidP="005D1D17">
            <w:r>
              <w:t>22</w:t>
            </w:r>
            <w:r w:rsidRPr="00BB5840">
              <w:rPr>
                <w:vertAlign w:val="superscript"/>
              </w:rPr>
              <w:t>nd</w:t>
            </w:r>
            <w:r>
              <w:t xml:space="preserve"> </w:t>
            </w:r>
            <w:r w:rsidR="00752222">
              <w:t>June 2026</w:t>
            </w:r>
          </w:p>
        </w:tc>
        <w:tc>
          <w:tcPr>
            <w:tcW w:w="2126" w:type="dxa"/>
            <w:tcBorders>
              <w:top w:val="single" w:sz="4" w:space="0" w:color="auto"/>
              <w:left w:val="single" w:sz="4" w:space="0" w:color="auto"/>
              <w:bottom w:val="single" w:sz="4" w:space="0" w:color="auto"/>
              <w:right w:val="single" w:sz="4" w:space="0" w:color="auto"/>
            </w:tcBorders>
            <w:vAlign w:val="center"/>
          </w:tcPr>
          <w:p w14:paraId="79FD8526" w14:textId="02279924" w:rsidR="003C166C" w:rsidRDefault="00752222" w:rsidP="005D1D17">
            <w:r>
              <w:t>Andrew Storer</w:t>
            </w:r>
          </w:p>
        </w:tc>
        <w:tc>
          <w:tcPr>
            <w:tcW w:w="3543" w:type="dxa"/>
            <w:tcBorders>
              <w:top w:val="single" w:sz="4" w:space="0" w:color="auto"/>
              <w:left w:val="single" w:sz="4" w:space="0" w:color="auto"/>
              <w:bottom w:val="single" w:sz="4" w:space="0" w:color="auto"/>
              <w:right w:val="single" w:sz="4" w:space="0" w:color="auto"/>
            </w:tcBorders>
            <w:vAlign w:val="center"/>
          </w:tcPr>
          <w:p w14:paraId="0DEA0A34" w14:textId="4BC91903" w:rsidR="003C166C" w:rsidRDefault="00176F46" w:rsidP="005D1D17">
            <w:r>
              <w:t>Updated Template</w:t>
            </w:r>
          </w:p>
        </w:tc>
      </w:tr>
      <w:tr w:rsidR="003C166C" w:rsidRPr="001A45DE" w14:paraId="4257452D" w14:textId="77777777" w:rsidTr="0014670F">
        <w:tc>
          <w:tcPr>
            <w:tcW w:w="1803" w:type="dxa"/>
            <w:tcBorders>
              <w:top w:val="single" w:sz="4" w:space="0" w:color="auto"/>
              <w:left w:val="single" w:sz="4" w:space="0" w:color="auto"/>
              <w:bottom w:val="single" w:sz="4" w:space="0" w:color="auto"/>
              <w:right w:val="single" w:sz="4" w:space="0" w:color="auto"/>
            </w:tcBorders>
            <w:vAlign w:val="center"/>
          </w:tcPr>
          <w:p w14:paraId="29B1F8D2" w14:textId="77777777" w:rsidR="003C166C" w:rsidRDefault="003C166C" w:rsidP="005D1D17"/>
        </w:tc>
        <w:tc>
          <w:tcPr>
            <w:tcW w:w="1878" w:type="dxa"/>
            <w:tcBorders>
              <w:top w:val="single" w:sz="4" w:space="0" w:color="auto"/>
              <w:left w:val="single" w:sz="4" w:space="0" w:color="auto"/>
              <w:bottom w:val="single" w:sz="4" w:space="0" w:color="auto"/>
              <w:right w:val="single" w:sz="4" w:space="0" w:color="auto"/>
            </w:tcBorders>
            <w:vAlign w:val="center"/>
          </w:tcPr>
          <w:p w14:paraId="2BA357FF" w14:textId="77777777" w:rsidR="003C166C" w:rsidRPr="004464D8" w:rsidRDefault="003C166C" w:rsidP="005D1D17"/>
        </w:tc>
        <w:tc>
          <w:tcPr>
            <w:tcW w:w="2126" w:type="dxa"/>
            <w:tcBorders>
              <w:top w:val="single" w:sz="4" w:space="0" w:color="auto"/>
              <w:left w:val="single" w:sz="4" w:space="0" w:color="auto"/>
              <w:bottom w:val="single" w:sz="4" w:space="0" w:color="auto"/>
              <w:right w:val="single" w:sz="4" w:space="0" w:color="auto"/>
            </w:tcBorders>
            <w:vAlign w:val="center"/>
          </w:tcPr>
          <w:p w14:paraId="3473A4F5" w14:textId="77777777" w:rsidR="003C166C" w:rsidRDefault="003C166C" w:rsidP="005D1D17"/>
        </w:tc>
        <w:tc>
          <w:tcPr>
            <w:tcW w:w="3543" w:type="dxa"/>
            <w:tcBorders>
              <w:top w:val="single" w:sz="4" w:space="0" w:color="auto"/>
              <w:left w:val="single" w:sz="4" w:space="0" w:color="auto"/>
              <w:bottom w:val="single" w:sz="4" w:space="0" w:color="auto"/>
              <w:right w:val="single" w:sz="4" w:space="0" w:color="auto"/>
            </w:tcBorders>
            <w:vAlign w:val="center"/>
          </w:tcPr>
          <w:p w14:paraId="538C243E" w14:textId="77777777" w:rsidR="003C166C" w:rsidRDefault="003C166C" w:rsidP="005D1D17"/>
        </w:tc>
      </w:tr>
      <w:tr w:rsidR="00176F46" w:rsidRPr="001A45DE" w14:paraId="580DB8F8" w14:textId="77777777" w:rsidTr="0014670F">
        <w:tc>
          <w:tcPr>
            <w:tcW w:w="1803" w:type="dxa"/>
            <w:tcBorders>
              <w:top w:val="single" w:sz="4" w:space="0" w:color="auto"/>
              <w:left w:val="single" w:sz="4" w:space="0" w:color="auto"/>
              <w:bottom w:val="single" w:sz="4" w:space="0" w:color="auto"/>
              <w:right w:val="single" w:sz="4" w:space="0" w:color="auto"/>
            </w:tcBorders>
            <w:vAlign w:val="center"/>
          </w:tcPr>
          <w:p w14:paraId="4874EC06" w14:textId="77777777" w:rsidR="00176F46" w:rsidRDefault="00176F46" w:rsidP="005D1D17"/>
        </w:tc>
        <w:tc>
          <w:tcPr>
            <w:tcW w:w="1878" w:type="dxa"/>
            <w:tcBorders>
              <w:top w:val="single" w:sz="4" w:space="0" w:color="auto"/>
              <w:left w:val="single" w:sz="4" w:space="0" w:color="auto"/>
              <w:bottom w:val="single" w:sz="4" w:space="0" w:color="auto"/>
              <w:right w:val="single" w:sz="4" w:space="0" w:color="auto"/>
            </w:tcBorders>
            <w:vAlign w:val="center"/>
          </w:tcPr>
          <w:p w14:paraId="488F6DB5" w14:textId="77777777" w:rsidR="00176F46" w:rsidRPr="004464D8" w:rsidRDefault="00176F46" w:rsidP="005D1D17"/>
        </w:tc>
        <w:tc>
          <w:tcPr>
            <w:tcW w:w="2126" w:type="dxa"/>
            <w:tcBorders>
              <w:top w:val="single" w:sz="4" w:space="0" w:color="auto"/>
              <w:left w:val="single" w:sz="4" w:space="0" w:color="auto"/>
              <w:bottom w:val="single" w:sz="4" w:space="0" w:color="auto"/>
              <w:right w:val="single" w:sz="4" w:space="0" w:color="auto"/>
            </w:tcBorders>
            <w:vAlign w:val="center"/>
          </w:tcPr>
          <w:p w14:paraId="41709631" w14:textId="77777777" w:rsidR="00176F46" w:rsidRDefault="00176F46" w:rsidP="005D1D17"/>
        </w:tc>
        <w:tc>
          <w:tcPr>
            <w:tcW w:w="3543" w:type="dxa"/>
            <w:tcBorders>
              <w:top w:val="single" w:sz="4" w:space="0" w:color="auto"/>
              <w:left w:val="single" w:sz="4" w:space="0" w:color="auto"/>
              <w:bottom w:val="single" w:sz="4" w:space="0" w:color="auto"/>
              <w:right w:val="single" w:sz="4" w:space="0" w:color="auto"/>
            </w:tcBorders>
            <w:vAlign w:val="center"/>
          </w:tcPr>
          <w:p w14:paraId="173E9CB0" w14:textId="77777777" w:rsidR="00176F46" w:rsidRDefault="00176F46" w:rsidP="005D1D17"/>
        </w:tc>
      </w:tr>
    </w:tbl>
    <w:p w14:paraId="391A6F31" w14:textId="40F2AC6F" w:rsidR="00132826" w:rsidRPr="00132826" w:rsidRDefault="00132826" w:rsidP="00261620">
      <w:pPr>
        <w:pStyle w:val="NormalBullet"/>
        <w:numPr>
          <w:ilvl w:val="0"/>
          <w:numId w:val="0"/>
        </w:numPr>
      </w:pPr>
    </w:p>
    <w:sectPr w:rsidR="00132826" w:rsidRPr="00132826" w:rsidSect="00810DFA">
      <w:headerReference w:type="default" r:id="rId15"/>
      <w:footerReference w:type="default" r:id="rId16"/>
      <w:pgSz w:w="12240" w:h="15840"/>
      <w:pgMar w:top="1134"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2DF04" w14:textId="77777777" w:rsidR="001B61A9" w:rsidRDefault="001B61A9" w:rsidP="00D46F6B">
      <w:pPr>
        <w:spacing w:after="0" w:line="240" w:lineRule="auto"/>
      </w:pPr>
      <w:r>
        <w:separator/>
      </w:r>
    </w:p>
  </w:endnote>
  <w:endnote w:type="continuationSeparator" w:id="0">
    <w:p w14:paraId="490B2D79" w14:textId="77777777" w:rsidR="001B61A9" w:rsidRDefault="001B61A9" w:rsidP="00D46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altName w:val="Nirmala UI"/>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C163D" w14:textId="02A204D1" w:rsidR="008D16A5" w:rsidRPr="008D16A5" w:rsidRDefault="00CB4DFA" w:rsidP="00CB4DFA">
    <w:pPr>
      <w:pStyle w:val="Footer"/>
      <w:rPr>
        <w:rFonts w:ascii="Poppins" w:hAnsi="Poppins" w:cs="Poppins"/>
        <w:sz w:val="4"/>
        <w:szCs w:val="4"/>
      </w:rPr>
    </w:pPr>
    <w:r>
      <w:rPr>
        <w:noProof/>
      </w:rPr>
      <w:drawing>
        <wp:inline distT="0" distB="0" distL="0" distR="0" wp14:anchorId="1C9F6E77" wp14:editId="1F880A49">
          <wp:extent cx="5935126" cy="195580"/>
          <wp:effectExtent l="0" t="0" r="8890" b="0"/>
          <wp:docPr id="18688014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801452" name=""/>
                  <pic:cNvPicPr/>
                </pic:nvPicPr>
                <pic:blipFill>
                  <a:blip r:embed="rId1"/>
                  <a:stretch>
                    <a:fillRect/>
                  </a:stretch>
                </pic:blipFill>
                <pic:spPr>
                  <a:xfrm>
                    <a:off x="0" y="0"/>
                    <a:ext cx="6020586" cy="198396"/>
                  </a:xfrm>
                  <a:prstGeom prst="rect">
                    <a:avLst/>
                  </a:prstGeom>
                </pic:spPr>
              </pic:pic>
            </a:graphicData>
          </a:graphic>
        </wp:inline>
      </w:drawing>
    </w:r>
  </w:p>
  <w:tbl>
    <w:tblPr>
      <w:tblStyle w:val="TableGrid"/>
      <w:tblW w:w="9640"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1417"/>
      <w:gridCol w:w="4253"/>
    </w:tblGrid>
    <w:tr w:rsidR="00CB4DFA" w:rsidRPr="00D46F6B" w14:paraId="02E7E619" w14:textId="77777777" w:rsidTr="0014670F">
      <w:tc>
        <w:tcPr>
          <w:tcW w:w="9640" w:type="dxa"/>
          <w:gridSpan w:val="3"/>
        </w:tcPr>
        <w:p w14:paraId="18835F33" w14:textId="2E000BFA" w:rsidR="00CB4DFA" w:rsidRPr="00D46F6B" w:rsidRDefault="00CB4DFA" w:rsidP="00CB4DFA">
          <w:pPr>
            <w:pStyle w:val="Footer"/>
            <w:jc w:val="right"/>
            <w:rPr>
              <w:sz w:val="16"/>
              <w:szCs w:val="16"/>
            </w:rPr>
          </w:pPr>
        </w:p>
      </w:tc>
    </w:tr>
    <w:tr w:rsidR="00D46F6B" w:rsidRPr="00D46F6B" w14:paraId="585BF70E" w14:textId="77777777" w:rsidTr="008D16A5">
      <w:tc>
        <w:tcPr>
          <w:tcW w:w="3970" w:type="dxa"/>
        </w:tcPr>
        <w:p w14:paraId="70F66F0B" w14:textId="26938B38" w:rsidR="00D46F6B" w:rsidRPr="00D46F6B" w:rsidRDefault="00D46F6B" w:rsidP="00E77899">
          <w:pPr>
            <w:pStyle w:val="Footer"/>
            <w:tabs>
              <w:tab w:val="clear" w:pos="4513"/>
              <w:tab w:val="clear" w:pos="9026"/>
              <w:tab w:val="left" w:pos="2140"/>
            </w:tabs>
            <w:spacing w:after="120"/>
            <w:rPr>
              <w:rFonts w:ascii="Poppins" w:hAnsi="Poppins" w:cs="Poppins"/>
              <w:sz w:val="16"/>
              <w:szCs w:val="16"/>
            </w:rPr>
          </w:pPr>
        </w:p>
      </w:tc>
      <w:tc>
        <w:tcPr>
          <w:tcW w:w="1417" w:type="dxa"/>
        </w:tcPr>
        <w:p w14:paraId="390EDEF9" w14:textId="1BF84B29" w:rsidR="00D46F6B" w:rsidRPr="00D46F6B" w:rsidRDefault="00D46F6B" w:rsidP="00CB4DFA">
          <w:pPr>
            <w:pStyle w:val="Footer"/>
            <w:spacing w:after="120"/>
            <w:jc w:val="center"/>
            <w:rPr>
              <w:rFonts w:ascii="Poppins" w:hAnsi="Poppins" w:cs="Poppins"/>
              <w:sz w:val="16"/>
              <w:szCs w:val="16"/>
            </w:rPr>
          </w:pPr>
          <w:r w:rsidRPr="00D46F6B">
            <w:rPr>
              <w:rFonts w:ascii="Poppins" w:hAnsi="Poppins" w:cs="Poppins"/>
              <w:sz w:val="16"/>
              <w:szCs w:val="16"/>
            </w:rPr>
            <w:t xml:space="preserve">Page </w:t>
          </w:r>
          <w:r w:rsidRPr="00D46F6B">
            <w:rPr>
              <w:rFonts w:ascii="Poppins" w:hAnsi="Poppins" w:cs="Poppins"/>
              <w:sz w:val="16"/>
              <w:szCs w:val="16"/>
            </w:rPr>
            <w:fldChar w:fldCharType="begin"/>
          </w:r>
          <w:r w:rsidRPr="00D46F6B">
            <w:rPr>
              <w:rFonts w:ascii="Poppins" w:hAnsi="Poppins" w:cs="Poppins"/>
              <w:sz w:val="16"/>
              <w:szCs w:val="16"/>
            </w:rPr>
            <w:instrText xml:space="preserve"> PAGE   \* MERGEFORMAT </w:instrText>
          </w:r>
          <w:r w:rsidRPr="00D46F6B">
            <w:rPr>
              <w:rFonts w:ascii="Poppins" w:hAnsi="Poppins" w:cs="Poppins"/>
              <w:sz w:val="16"/>
              <w:szCs w:val="16"/>
            </w:rPr>
            <w:fldChar w:fldCharType="separate"/>
          </w:r>
          <w:r w:rsidRPr="00D46F6B">
            <w:rPr>
              <w:rFonts w:ascii="Poppins" w:hAnsi="Poppins" w:cs="Poppins"/>
              <w:noProof/>
              <w:sz w:val="16"/>
              <w:szCs w:val="16"/>
            </w:rPr>
            <w:t>1</w:t>
          </w:r>
          <w:r w:rsidRPr="00D46F6B">
            <w:rPr>
              <w:rFonts w:ascii="Poppins" w:hAnsi="Poppins" w:cs="Poppins"/>
              <w:sz w:val="16"/>
              <w:szCs w:val="16"/>
            </w:rPr>
            <w:fldChar w:fldCharType="end"/>
          </w:r>
          <w:r w:rsidRPr="00D46F6B">
            <w:rPr>
              <w:rFonts w:ascii="Poppins" w:hAnsi="Poppins" w:cs="Poppins"/>
              <w:sz w:val="16"/>
              <w:szCs w:val="16"/>
            </w:rPr>
            <w:t xml:space="preserve"> of </w:t>
          </w:r>
          <w:r w:rsidRPr="00D46F6B">
            <w:rPr>
              <w:rFonts w:ascii="Poppins" w:hAnsi="Poppins" w:cs="Poppins"/>
              <w:sz w:val="16"/>
              <w:szCs w:val="16"/>
            </w:rPr>
            <w:fldChar w:fldCharType="begin"/>
          </w:r>
          <w:r w:rsidRPr="00D46F6B">
            <w:rPr>
              <w:rFonts w:ascii="Poppins" w:hAnsi="Poppins" w:cs="Poppins"/>
              <w:sz w:val="16"/>
              <w:szCs w:val="16"/>
            </w:rPr>
            <w:instrText xml:space="preserve"> NUMPAGES   \* MERGEFORMAT </w:instrText>
          </w:r>
          <w:r w:rsidRPr="00D46F6B">
            <w:rPr>
              <w:rFonts w:ascii="Poppins" w:hAnsi="Poppins" w:cs="Poppins"/>
              <w:sz w:val="16"/>
              <w:szCs w:val="16"/>
            </w:rPr>
            <w:fldChar w:fldCharType="separate"/>
          </w:r>
          <w:r w:rsidRPr="00D46F6B">
            <w:rPr>
              <w:rFonts w:ascii="Poppins" w:hAnsi="Poppins" w:cs="Poppins"/>
              <w:noProof/>
              <w:sz w:val="16"/>
              <w:szCs w:val="16"/>
            </w:rPr>
            <w:t>1</w:t>
          </w:r>
          <w:r w:rsidRPr="00D46F6B">
            <w:rPr>
              <w:rFonts w:ascii="Poppins" w:hAnsi="Poppins" w:cs="Poppins"/>
              <w:sz w:val="16"/>
              <w:szCs w:val="16"/>
            </w:rPr>
            <w:fldChar w:fldCharType="end"/>
          </w:r>
        </w:p>
      </w:tc>
      <w:tc>
        <w:tcPr>
          <w:tcW w:w="4253" w:type="dxa"/>
        </w:tcPr>
        <w:p w14:paraId="0A8CD88B" w14:textId="1CCBA7BB" w:rsidR="00D46F6B" w:rsidRPr="00D46F6B" w:rsidRDefault="00D46F6B" w:rsidP="00CB4DFA">
          <w:pPr>
            <w:pStyle w:val="Footer"/>
            <w:spacing w:after="120"/>
            <w:jc w:val="right"/>
            <w:rPr>
              <w:sz w:val="16"/>
              <w:szCs w:val="16"/>
            </w:rPr>
          </w:pPr>
          <w:r w:rsidRPr="00D46F6B">
            <w:rPr>
              <w:rFonts w:ascii="Poppins" w:hAnsi="Poppins" w:cs="Poppins"/>
              <w:sz w:val="16"/>
              <w:szCs w:val="16"/>
            </w:rPr>
            <w:fldChar w:fldCharType="begin"/>
          </w:r>
          <w:r w:rsidRPr="00D46F6B">
            <w:rPr>
              <w:rFonts w:ascii="Poppins" w:hAnsi="Poppins" w:cs="Poppins"/>
              <w:sz w:val="16"/>
              <w:szCs w:val="16"/>
            </w:rPr>
            <w:instrText xml:space="preserve"> SAVEDATE  \@ "dd MMMM yyyy"  \* MERGEFORMAT </w:instrText>
          </w:r>
          <w:r w:rsidRPr="00D46F6B">
            <w:rPr>
              <w:rFonts w:ascii="Poppins" w:hAnsi="Poppins" w:cs="Poppins"/>
              <w:sz w:val="16"/>
              <w:szCs w:val="16"/>
            </w:rPr>
            <w:fldChar w:fldCharType="separate"/>
          </w:r>
          <w:r w:rsidR="005F2BD2">
            <w:rPr>
              <w:rFonts w:ascii="Poppins" w:hAnsi="Poppins" w:cs="Poppins"/>
              <w:noProof/>
              <w:sz w:val="16"/>
              <w:szCs w:val="16"/>
            </w:rPr>
            <w:t>22 June 2026</w:t>
          </w:r>
          <w:r w:rsidRPr="00D46F6B">
            <w:rPr>
              <w:rFonts w:ascii="Poppins" w:hAnsi="Poppins" w:cs="Poppins"/>
              <w:sz w:val="16"/>
              <w:szCs w:val="16"/>
            </w:rPr>
            <w:fldChar w:fldCharType="end"/>
          </w:r>
        </w:p>
      </w:tc>
    </w:tr>
    <w:tr w:rsidR="00D46F6B" w14:paraId="71430614" w14:textId="77777777" w:rsidTr="008D16A5">
      <w:tc>
        <w:tcPr>
          <w:tcW w:w="9640" w:type="dxa"/>
          <w:gridSpan w:val="3"/>
        </w:tcPr>
        <w:p w14:paraId="314A3C1A" w14:textId="47F71285" w:rsidR="00D46F6B" w:rsidRPr="00D46F6B" w:rsidRDefault="00D46F6B" w:rsidP="00D46F6B">
          <w:pPr>
            <w:pBdr>
              <w:top w:val="nil"/>
              <w:left w:val="nil"/>
              <w:bottom w:val="nil"/>
              <w:right w:val="nil"/>
              <w:between w:val="nil"/>
            </w:pBdr>
            <w:tabs>
              <w:tab w:val="center" w:pos="4320"/>
              <w:tab w:val="right" w:pos="8640"/>
            </w:tabs>
            <w:ind w:hanging="2"/>
            <w:jc w:val="center"/>
            <w:rPr>
              <w:rFonts w:ascii="Poppins" w:eastAsia="Calibri" w:hAnsi="Poppins" w:cs="Poppins"/>
              <w:sz w:val="12"/>
              <w:szCs w:val="12"/>
            </w:rPr>
          </w:pPr>
          <w:r w:rsidRPr="00D46F6B">
            <w:rPr>
              <w:rFonts w:ascii="Poppins" w:eastAsia="Calibri" w:hAnsi="Poppins" w:cs="Poppins"/>
              <w:b/>
              <w:sz w:val="12"/>
              <w:szCs w:val="12"/>
            </w:rPr>
            <w:t xml:space="preserve">Money Carer, Vanguard House, Sci-Tech Daresbury, </w:t>
          </w:r>
          <w:proofErr w:type="spellStart"/>
          <w:r w:rsidRPr="00D46F6B">
            <w:rPr>
              <w:rFonts w:ascii="Poppins" w:eastAsia="Calibri" w:hAnsi="Poppins" w:cs="Poppins"/>
              <w:b/>
              <w:sz w:val="12"/>
              <w:szCs w:val="12"/>
            </w:rPr>
            <w:t>Keckwick</w:t>
          </w:r>
          <w:proofErr w:type="spellEnd"/>
          <w:r w:rsidRPr="00D46F6B">
            <w:rPr>
              <w:rFonts w:ascii="Poppins" w:eastAsia="Calibri" w:hAnsi="Poppins" w:cs="Poppins"/>
              <w:b/>
              <w:sz w:val="12"/>
              <w:szCs w:val="12"/>
            </w:rPr>
            <w:t xml:space="preserve"> Lane, Daresbury, WA4 4AB</w:t>
          </w:r>
        </w:p>
        <w:p w14:paraId="76B0A1FB" w14:textId="08351614" w:rsidR="00D46F6B" w:rsidRPr="002447B8" w:rsidRDefault="00D46F6B" w:rsidP="00D46F6B">
          <w:pPr>
            <w:pBdr>
              <w:top w:val="nil"/>
              <w:left w:val="nil"/>
              <w:bottom w:val="nil"/>
              <w:right w:val="nil"/>
              <w:between w:val="nil"/>
            </w:pBdr>
            <w:tabs>
              <w:tab w:val="center" w:pos="4320"/>
              <w:tab w:val="right" w:pos="8640"/>
            </w:tabs>
            <w:ind w:hanging="2"/>
            <w:jc w:val="center"/>
            <w:rPr>
              <w:rFonts w:ascii="Calibri" w:eastAsia="Calibri" w:hAnsi="Calibri" w:cs="Calibri"/>
              <w:sz w:val="10"/>
              <w:szCs w:val="10"/>
            </w:rPr>
          </w:pPr>
          <w:r w:rsidRPr="002447B8">
            <w:rPr>
              <w:rFonts w:ascii="Poppins" w:eastAsia="Calibri" w:hAnsi="Poppins" w:cs="Poppins"/>
              <w:sz w:val="10"/>
              <w:szCs w:val="10"/>
            </w:rPr>
            <w:t xml:space="preserve">Registered in England and Wales with company number 07049575. Registered Office: </w:t>
          </w:r>
          <w:r w:rsidR="002447B8" w:rsidRPr="002447B8">
            <w:rPr>
              <w:rFonts w:ascii="Poppins" w:eastAsia="Calibri" w:hAnsi="Poppins" w:cs="Poppins"/>
              <w:sz w:val="10"/>
              <w:szCs w:val="10"/>
            </w:rPr>
            <w:t xml:space="preserve">Vanguard House, Sci-Tech Daresbury, </w:t>
          </w:r>
          <w:proofErr w:type="spellStart"/>
          <w:r w:rsidR="002447B8" w:rsidRPr="002447B8">
            <w:rPr>
              <w:rFonts w:ascii="Poppins" w:eastAsia="Calibri" w:hAnsi="Poppins" w:cs="Poppins"/>
              <w:sz w:val="10"/>
              <w:szCs w:val="10"/>
            </w:rPr>
            <w:t>Keckwick</w:t>
          </w:r>
          <w:proofErr w:type="spellEnd"/>
          <w:r w:rsidR="002447B8" w:rsidRPr="002447B8">
            <w:rPr>
              <w:rFonts w:ascii="Poppins" w:eastAsia="Calibri" w:hAnsi="Poppins" w:cs="Poppins"/>
              <w:sz w:val="10"/>
              <w:szCs w:val="10"/>
            </w:rPr>
            <w:t xml:space="preserve"> Lane, Daresbury, WA4 4AB</w:t>
          </w:r>
        </w:p>
      </w:tc>
    </w:tr>
  </w:tbl>
  <w:p w14:paraId="231E78F6" w14:textId="1EA6631E" w:rsidR="00D46F6B" w:rsidRPr="007822A2" w:rsidRDefault="00D46F6B" w:rsidP="00D46F6B">
    <w:pPr>
      <w:pStyle w:val="Footer"/>
      <w:rPr>
        <w:sz w:val="14"/>
        <w:szCs w:val="14"/>
      </w:rPr>
    </w:pPr>
    <w:r w:rsidRPr="007822A2">
      <w:rPr>
        <w:sz w:val="14"/>
        <w:szCs w:val="1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92D99" w14:textId="77777777" w:rsidR="001B61A9" w:rsidRDefault="001B61A9" w:rsidP="00D46F6B">
      <w:pPr>
        <w:spacing w:after="0" w:line="240" w:lineRule="auto"/>
      </w:pPr>
      <w:r>
        <w:separator/>
      </w:r>
    </w:p>
  </w:footnote>
  <w:footnote w:type="continuationSeparator" w:id="0">
    <w:p w14:paraId="5DA44D0C" w14:textId="77777777" w:rsidR="001B61A9" w:rsidRDefault="001B61A9" w:rsidP="00D46F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17548" w14:textId="54979F55" w:rsidR="00D46F6B" w:rsidRDefault="008F15C5" w:rsidP="005F38AC">
    <w:pPr>
      <w:pStyle w:val="Header"/>
      <w:tabs>
        <w:tab w:val="clear" w:pos="4513"/>
      </w:tabs>
    </w:pPr>
    <w:r w:rsidRPr="008F15C5">
      <w:rPr>
        <w:rFonts w:ascii="Poppins" w:hAnsi="Poppins" w:cs="Poppins"/>
        <w:b/>
        <w:bCs/>
        <w:noProof/>
        <w:sz w:val="20"/>
        <w:szCs w:val="20"/>
      </w:rPr>
      <w:fldChar w:fldCharType="begin"/>
    </w:r>
    <w:r w:rsidRPr="008F15C5">
      <w:rPr>
        <w:rFonts w:ascii="Poppins" w:hAnsi="Poppins" w:cs="Poppins"/>
        <w:b/>
        <w:bCs/>
        <w:noProof/>
        <w:sz w:val="20"/>
        <w:szCs w:val="20"/>
      </w:rPr>
      <w:instrText xml:space="preserve"> TITLE   \* MERGEFORMAT </w:instrText>
    </w:r>
    <w:r w:rsidRPr="008F15C5">
      <w:rPr>
        <w:rFonts w:ascii="Poppins" w:hAnsi="Poppins" w:cs="Poppins"/>
        <w:b/>
        <w:bCs/>
        <w:noProof/>
        <w:sz w:val="20"/>
        <w:szCs w:val="20"/>
      </w:rPr>
      <w:fldChar w:fldCharType="separate"/>
    </w:r>
    <w:r w:rsidR="008B4CCC">
      <w:rPr>
        <w:rFonts w:ascii="Poppins" w:hAnsi="Poppins" w:cs="Poppins"/>
        <w:b/>
        <w:bCs/>
        <w:noProof/>
        <w:sz w:val="20"/>
        <w:szCs w:val="20"/>
      </w:rPr>
      <w:t>Family Access Policy</w:t>
    </w:r>
    <w:r w:rsidRPr="008F15C5">
      <w:rPr>
        <w:rFonts w:ascii="Poppins" w:hAnsi="Poppins" w:cs="Poppins"/>
        <w:b/>
        <w:bCs/>
        <w:noProof/>
        <w:sz w:val="20"/>
        <w:szCs w:val="20"/>
      </w:rPr>
      <w:fldChar w:fldCharType="end"/>
    </w:r>
    <w:r w:rsidRPr="008F15C5">
      <w:rPr>
        <w:rFonts w:ascii="Poppins" w:hAnsi="Poppins" w:cs="Poppins"/>
        <w:b/>
        <w:bCs/>
        <w:noProof/>
        <w:sz w:val="18"/>
        <w:szCs w:val="18"/>
      </w:rPr>
      <w:tab/>
    </w:r>
    <w:r w:rsidR="000C2205" w:rsidRPr="001E2A34">
      <w:rPr>
        <w:noProof/>
      </w:rPr>
      <w:drawing>
        <wp:inline distT="0" distB="0" distL="0" distR="0" wp14:anchorId="2163F710" wp14:editId="33EBD578">
          <wp:extent cx="975360" cy="498761"/>
          <wp:effectExtent l="0" t="0" r="0" b="0"/>
          <wp:docPr id="700" name="Picture 5" descr="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0" name="Picture 5" descr="Picture 5"/>
                  <pic:cNvPicPr>
                    <a:picLocks noChangeAspect="1"/>
                  </pic:cNvPicPr>
                </pic:nvPicPr>
                <pic:blipFill rotWithShape="1">
                  <a:blip r:embed="rId1"/>
                  <a:srcRect t="12057" b="6771"/>
                  <a:stretch>
                    <a:fillRect/>
                  </a:stretch>
                </pic:blipFill>
                <pic:spPr bwMode="auto">
                  <a:xfrm>
                    <a:off x="0" y="0"/>
                    <a:ext cx="975360" cy="498761"/>
                  </a:xfrm>
                  <a:prstGeom prst="rect">
                    <a:avLst/>
                  </a:prstGeom>
                  <a:ln>
                    <a:noFill/>
                  </a:ln>
                  <a:extLst>
                    <a:ext uri="{53640926-AAD7-44D8-BBD7-CCE9431645EC}">
                      <a14:shadowObscured xmlns:a14="http://schemas.microsoft.com/office/drawing/2010/main"/>
                    </a:ext>
                  </a:extLst>
                </pic:spPr>
              </pic:pic>
            </a:graphicData>
          </a:graphic>
        </wp:inline>
      </w:drawing>
    </w:r>
    <w:r w:rsidR="0014670F">
      <w:pict w14:anchorId="0B703790">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5598D"/>
    <w:multiLevelType w:val="hybridMultilevel"/>
    <w:tmpl w:val="A4609860"/>
    <w:lvl w:ilvl="0" w:tplc="CBFAE902">
      <w:numFmt w:v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5ED7B4B"/>
    <w:multiLevelType w:val="multilevel"/>
    <w:tmpl w:val="6B60C5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B2549E"/>
    <w:multiLevelType w:val="multilevel"/>
    <w:tmpl w:val="CE542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9C1B01"/>
    <w:multiLevelType w:val="multilevel"/>
    <w:tmpl w:val="4960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130E8"/>
    <w:multiLevelType w:val="multilevel"/>
    <w:tmpl w:val="BFDA8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360695"/>
    <w:multiLevelType w:val="multilevel"/>
    <w:tmpl w:val="5DAE51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7A6D12"/>
    <w:multiLevelType w:val="multilevel"/>
    <w:tmpl w:val="59D0FD66"/>
    <w:lvl w:ilvl="0">
      <w:start w:val="1"/>
      <w:numFmt w:val="decimal"/>
      <w:pStyle w:val="Heading1"/>
      <w:lvlText w:val="%1."/>
      <w:lvlJc w:val="left"/>
      <w:pPr>
        <w:ind w:left="1247" w:hanging="1247"/>
      </w:pPr>
      <w:rPr>
        <w:rFonts w:hint="default"/>
      </w:rPr>
    </w:lvl>
    <w:lvl w:ilvl="1">
      <w:start w:val="1"/>
      <w:numFmt w:val="decimal"/>
      <w:pStyle w:val="Heading2"/>
      <w:lvlText w:val="%1.%2."/>
      <w:lvlJc w:val="left"/>
      <w:pPr>
        <w:ind w:left="1247" w:hanging="1247"/>
      </w:pPr>
      <w:rPr>
        <w:rFonts w:hint="default"/>
      </w:rPr>
    </w:lvl>
    <w:lvl w:ilvl="2">
      <w:start w:val="1"/>
      <w:numFmt w:val="decimal"/>
      <w:pStyle w:val="Heading3"/>
      <w:lvlText w:val="%1.%2.%3."/>
      <w:lvlJc w:val="left"/>
      <w:pPr>
        <w:ind w:left="1247" w:hanging="1247"/>
      </w:pPr>
      <w:rPr>
        <w:rFonts w:hint="default"/>
      </w:rPr>
    </w:lvl>
    <w:lvl w:ilvl="3">
      <w:start w:val="1"/>
      <w:numFmt w:val="decimal"/>
      <w:pStyle w:val="Heading4"/>
      <w:lvlText w:val="%1.%2.%3.%4."/>
      <w:lvlJc w:val="left"/>
      <w:pPr>
        <w:ind w:left="1247" w:hanging="124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BD9161A"/>
    <w:multiLevelType w:val="multilevel"/>
    <w:tmpl w:val="31E6B4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561EB9"/>
    <w:multiLevelType w:val="hybridMultilevel"/>
    <w:tmpl w:val="2006CD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54F74D44"/>
    <w:multiLevelType w:val="multilevel"/>
    <w:tmpl w:val="FD1CD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B33B3"/>
    <w:multiLevelType w:val="multilevel"/>
    <w:tmpl w:val="116EE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47895"/>
    <w:multiLevelType w:val="multilevel"/>
    <w:tmpl w:val="610A12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C90444"/>
    <w:multiLevelType w:val="hybridMultilevel"/>
    <w:tmpl w:val="12BE6782"/>
    <w:lvl w:ilvl="0" w:tplc="FAFE79D6">
      <w:numFmt w:val="bullet"/>
      <w:pStyle w:val="NormalBullet"/>
      <w:lvlText w:val="•"/>
      <w:lvlJc w:val="left"/>
      <w:pPr>
        <w:ind w:left="720" w:hanging="360"/>
      </w:pPr>
      <w:rPr>
        <w:rFonts w:ascii="Aptos" w:eastAsiaTheme="minorHAnsi" w:hAnsi="Aptos"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0E22FA"/>
    <w:multiLevelType w:val="multilevel"/>
    <w:tmpl w:val="0A4A3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71427786">
    <w:abstractNumId w:val="6"/>
  </w:num>
  <w:num w:numId="2" w16cid:durableId="627198927">
    <w:abstractNumId w:val="12"/>
  </w:num>
  <w:num w:numId="3" w16cid:durableId="160433230">
    <w:abstractNumId w:val="0"/>
  </w:num>
  <w:num w:numId="4" w16cid:durableId="1881673716">
    <w:abstractNumId w:val="8"/>
  </w:num>
  <w:num w:numId="5" w16cid:durableId="890113784">
    <w:abstractNumId w:val="9"/>
  </w:num>
  <w:num w:numId="6" w16cid:durableId="1225794589">
    <w:abstractNumId w:val="4"/>
  </w:num>
  <w:num w:numId="7" w16cid:durableId="1889754403">
    <w:abstractNumId w:val="7"/>
  </w:num>
  <w:num w:numId="8" w16cid:durableId="417218542">
    <w:abstractNumId w:val="13"/>
  </w:num>
  <w:num w:numId="9" w16cid:durableId="983974316">
    <w:abstractNumId w:val="3"/>
  </w:num>
  <w:num w:numId="10" w16cid:durableId="641544910">
    <w:abstractNumId w:val="5"/>
  </w:num>
  <w:num w:numId="11" w16cid:durableId="1505586787">
    <w:abstractNumId w:val="10"/>
  </w:num>
  <w:num w:numId="12" w16cid:durableId="559487436">
    <w:abstractNumId w:val="11"/>
  </w:num>
  <w:num w:numId="13" w16cid:durableId="1984116992">
    <w:abstractNumId w:val="2"/>
  </w:num>
  <w:num w:numId="14" w16cid:durableId="72005565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F6B"/>
    <w:rsid w:val="00001588"/>
    <w:rsid w:val="0002001A"/>
    <w:rsid w:val="00027A84"/>
    <w:rsid w:val="00032571"/>
    <w:rsid w:val="000372F6"/>
    <w:rsid w:val="00041BFC"/>
    <w:rsid w:val="00042DAF"/>
    <w:rsid w:val="0004392D"/>
    <w:rsid w:val="00044106"/>
    <w:rsid w:val="00053F2E"/>
    <w:rsid w:val="000815D0"/>
    <w:rsid w:val="00086D59"/>
    <w:rsid w:val="0009148F"/>
    <w:rsid w:val="000B15DD"/>
    <w:rsid w:val="000C0523"/>
    <w:rsid w:val="000C05D2"/>
    <w:rsid w:val="000C2205"/>
    <w:rsid w:val="000C2F8C"/>
    <w:rsid w:val="000C67AD"/>
    <w:rsid w:val="000D536B"/>
    <w:rsid w:val="000E5CC6"/>
    <w:rsid w:val="000F4A1D"/>
    <w:rsid w:val="000F577F"/>
    <w:rsid w:val="001037F5"/>
    <w:rsid w:val="00110BD1"/>
    <w:rsid w:val="00113B63"/>
    <w:rsid w:val="0011542D"/>
    <w:rsid w:val="001272EE"/>
    <w:rsid w:val="00127F4B"/>
    <w:rsid w:val="001327B9"/>
    <w:rsid w:val="00132826"/>
    <w:rsid w:val="00135755"/>
    <w:rsid w:val="001414F1"/>
    <w:rsid w:val="00143AFC"/>
    <w:rsid w:val="0014670F"/>
    <w:rsid w:val="00156DC8"/>
    <w:rsid w:val="00170DD6"/>
    <w:rsid w:val="00173580"/>
    <w:rsid w:val="00175A73"/>
    <w:rsid w:val="00176F46"/>
    <w:rsid w:val="00190FB5"/>
    <w:rsid w:val="00194027"/>
    <w:rsid w:val="001A45DE"/>
    <w:rsid w:val="001A629E"/>
    <w:rsid w:val="001B013A"/>
    <w:rsid w:val="001B61A9"/>
    <w:rsid w:val="001C1512"/>
    <w:rsid w:val="001C27A2"/>
    <w:rsid w:val="001D261C"/>
    <w:rsid w:val="001D3966"/>
    <w:rsid w:val="001D7A20"/>
    <w:rsid w:val="0020429C"/>
    <w:rsid w:val="00206497"/>
    <w:rsid w:val="00212787"/>
    <w:rsid w:val="00214670"/>
    <w:rsid w:val="0024046C"/>
    <w:rsid w:val="00240852"/>
    <w:rsid w:val="00240CCB"/>
    <w:rsid w:val="002447B8"/>
    <w:rsid w:val="00254E11"/>
    <w:rsid w:val="00261620"/>
    <w:rsid w:val="00264DA8"/>
    <w:rsid w:val="002732B1"/>
    <w:rsid w:val="002737D3"/>
    <w:rsid w:val="00274BE4"/>
    <w:rsid w:val="00281410"/>
    <w:rsid w:val="002828AF"/>
    <w:rsid w:val="002956C7"/>
    <w:rsid w:val="00295F09"/>
    <w:rsid w:val="002970B8"/>
    <w:rsid w:val="002A5CC2"/>
    <w:rsid w:val="002B32EB"/>
    <w:rsid w:val="002B444E"/>
    <w:rsid w:val="002D6368"/>
    <w:rsid w:val="002E230A"/>
    <w:rsid w:val="00302E48"/>
    <w:rsid w:val="003066F3"/>
    <w:rsid w:val="003123A5"/>
    <w:rsid w:val="00315263"/>
    <w:rsid w:val="003154D0"/>
    <w:rsid w:val="003213DC"/>
    <w:rsid w:val="003230FC"/>
    <w:rsid w:val="00323C6D"/>
    <w:rsid w:val="00337BC2"/>
    <w:rsid w:val="00356589"/>
    <w:rsid w:val="003614F4"/>
    <w:rsid w:val="00365CFC"/>
    <w:rsid w:val="00366745"/>
    <w:rsid w:val="00375365"/>
    <w:rsid w:val="00390A4C"/>
    <w:rsid w:val="0039113D"/>
    <w:rsid w:val="003971DD"/>
    <w:rsid w:val="003A13C6"/>
    <w:rsid w:val="003B6C5D"/>
    <w:rsid w:val="003C166C"/>
    <w:rsid w:val="003C1989"/>
    <w:rsid w:val="003C72B6"/>
    <w:rsid w:val="003D0196"/>
    <w:rsid w:val="003D1CC5"/>
    <w:rsid w:val="003D3CFB"/>
    <w:rsid w:val="003D3D16"/>
    <w:rsid w:val="003F0C00"/>
    <w:rsid w:val="004015A4"/>
    <w:rsid w:val="0040499C"/>
    <w:rsid w:val="00413654"/>
    <w:rsid w:val="00413734"/>
    <w:rsid w:val="004215CF"/>
    <w:rsid w:val="004218E9"/>
    <w:rsid w:val="00424082"/>
    <w:rsid w:val="00427764"/>
    <w:rsid w:val="004344E8"/>
    <w:rsid w:val="00434502"/>
    <w:rsid w:val="004346AF"/>
    <w:rsid w:val="004356F9"/>
    <w:rsid w:val="004442AD"/>
    <w:rsid w:val="004464D8"/>
    <w:rsid w:val="00447F3D"/>
    <w:rsid w:val="004529E7"/>
    <w:rsid w:val="00457A68"/>
    <w:rsid w:val="00462078"/>
    <w:rsid w:val="0048103C"/>
    <w:rsid w:val="00496DB4"/>
    <w:rsid w:val="00496E5B"/>
    <w:rsid w:val="004A3DBA"/>
    <w:rsid w:val="004A7F29"/>
    <w:rsid w:val="004C538E"/>
    <w:rsid w:val="004D1B47"/>
    <w:rsid w:val="004E2BD0"/>
    <w:rsid w:val="004E379E"/>
    <w:rsid w:val="004E62AC"/>
    <w:rsid w:val="00512C24"/>
    <w:rsid w:val="00515DD0"/>
    <w:rsid w:val="005178A4"/>
    <w:rsid w:val="005220FA"/>
    <w:rsid w:val="0052510A"/>
    <w:rsid w:val="00530DA6"/>
    <w:rsid w:val="0053451F"/>
    <w:rsid w:val="00541434"/>
    <w:rsid w:val="005628B3"/>
    <w:rsid w:val="00576912"/>
    <w:rsid w:val="005802D6"/>
    <w:rsid w:val="00580755"/>
    <w:rsid w:val="00590C9D"/>
    <w:rsid w:val="00596576"/>
    <w:rsid w:val="005A5F53"/>
    <w:rsid w:val="005B20D3"/>
    <w:rsid w:val="005B387C"/>
    <w:rsid w:val="005B4AAE"/>
    <w:rsid w:val="005D14B8"/>
    <w:rsid w:val="005D1D17"/>
    <w:rsid w:val="005E00AC"/>
    <w:rsid w:val="005E1C16"/>
    <w:rsid w:val="005E57AB"/>
    <w:rsid w:val="005F2BD2"/>
    <w:rsid w:val="005F38AC"/>
    <w:rsid w:val="005F6E04"/>
    <w:rsid w:val="006013E4"/>
    <w:rsid w:val="00611FB1"/>
    <w:rsid w:val="00612B6D"/>
    <w:rsid w:val="00636BFB"/>
    <w:rsid w:val="00642112"/>
    <w:rsid w:val="00642ABC"/>
    <w:rsid w:val="00643DFB"/>
    <w:rsid w:val="00646ED9"/>
    <w:rsid w:val="006616CB"/>
    <w:rsid w:val="0066769D"/>
    <w:rsid w:val="0067103F"/>
    <w:rsid w:val="0067774E"/>
    <w:rsid w:val="00677F60"/>
    <w:rsid w:val="00684792"/>
    <w:rsid w:val="00684FAF"/>
    <w:rsid w:val="006971D3"/>
    <w:rsid w:val="006A73C8"/>
    <w:rsid w:val="006B3DBB"/>
    <w:rsid w:val="006C017B"/>
    <w:rsid w:val="006C01FD"/>
    <w:rsid w:val="006D0ED1"/>
    <w:rsid w:val="006D25CC"/>
    <w:rsid w:val="006D3962"/>
    <w:rsid w:val="006D3FAD"/>
    <w:rsid w:val="006E1509"/>
    <w:rsid w:val="006E24F5"/>
    <w:rsid w:val="006F2DF4"/>
    <w:rsid w:val="006F38B4"/>
    <w:rsid w:val="006F7B59"/>
    <w:rsid w:val="0072790A"/>
    <w:rsid w:val="007417D8"/>
    <w:rsid w:val="00746DEB"/>
    <w:rsid w:val="00752222"/>
    <w:rsid w:val="007635B0"/>
    <w:rsid w:val="0076596F"/>
    <w:rsid w:val="007663DB"/>
    <w:rsid w:val="007700A9"/>
    <w:rsid w:val="00773390"/>
    <w:rsid w:val="0077486A"/>
    <w:rsid w:val="007822A2"/>
    <w:rsid w:val="00783C08"/>
    <w:rsid w:val="0079509B"/>
    <w:rsid w:val="00795A48"/>
    <w:rsid w:val="007A7955"/>
    <w:rsid w:val="007B1D92"/>
    <w:rsid w:val="007B64B0"/>
    <w:rsid w:val="007B7C90"/>
    <w:rsid w:val="007B7D93"/>
    <w:rsid w:val="007D36DF"/>
    <w:rsid w:val="007E2D5A"/>
    <w:rsid w:val="007E40E9"/>
    <w:rsid w:val="007E77F9"/>
    <w:rsid w:val="007F0E73"/>
    <w:rsid w:val="007F4C52"/>
    <w:rsid w:val="007F61B6"/>
    <w:rsid w:val="008028CD"/>
    <w:rsid w:val="008068CA"/>
    <w:rsid w:val="00810DFA"/>
    <w:rsid w:val="0081333E"/>
    <w:rsid w:val="00817C00"/>
    <w:rsid w:val="008201F5"/>
    <w:rsid w:val="0082189E"/>
    <w:rsid w:val="00843C6D"/>
    <w:rsid w:val="00855B61"/>
    <w:rsid w:val="0086043C"/>
    <w:rsid w:val="008700D2"/>
    <w:rsid w:val="0087036E"/>
    <w:rsid w:val="00872310"/>
    <w:rsid w:val="008802DC"/>
    <w:rsid w:val="0088118E"/>
    <w:rsid w:val="00890ED7"/>
    <w:rsid w:val="008A1A13"/>
    <w:rsid w:val="008A6B70"/>
    <w:rsid w:val="008A7DED"/>
    <w:rsid w:val="008B2069"/>
    <w:rsid w:val="008B4CCC"/>
    <w:rsid w:val="008B4E55"/>
    <w:rsid w:val="008C579B"/>
    <w:rsid w:val="008D0572"/>
    <w:rsid w:val="008D16A5"/>
    <w:rsid w:val="008D7E5A"/>
    <w:rsid w:val="008E2C84"/>
    <w:rsid w:val="008E560A"/>
    <w:rsid w:val="008E6DF1"/>
    <w:rsid w:val="008E7626"/>
    <w:rsid w:val="008F15C5"/>
    <w:rsid w:val="008F7F32"/>
    <w:rsid w:val="009018B9"/>
    <w:rsid w:val="00907D13"/>
    <w:rsid w:val="00916F5D"/>
    <w:rsid w:val="009203AF"/>
    <w:rsid w:val="00920D1F"/>
    <w:rsid w:val="0092415A"/>
    <w:rsid w:val="00931314"/>
    <w:rsid w:val="00934129"/>
    <w:rsid w:val="00935B50"/>
    <w:rsid w:val="00954376"/>
    <w:rsid w:val="009549DF"/>
    <w:rsid w:val="009555C0"/>
    <w:rsid w:val="00957A76"/>
    <w:rsid w:val="009604CF"/>
    <w:rsid w:val="009826BC"/>
    <w:rsid w:val="00993055"/>
    <w:rsid w:val="009955DC"/>
    <w:rsid w:val="009963EA"/>
    <w:rsid w:val="009A17D8"/>
    <w:rsid w:val="009A2055"/>
    <w:rsid w:val="009A6C51"/>
    <w:rsid w:val="009C275C"/>
    <w:rsid w:val="009D066F"/>
    <w:rsid w:val="009E00CF"/>
    <w:rsid w:val="009E0BB5"/>
    <w:rsid w:val="009E6741"/>
    <w:rsid w:val="009F09D2"/>
    <w:rsid w:val="009F140D"/>
    <w:rsid w:val="009F5D80"/>
    <w:rsid w:val="00A00172"/>
    <w:rsid w:val="00A03DD0"/>
    <w:rsid w:val="00A0446E"/>
    <w:rsid w:val="00A31346"/>
    <w:rsid w:val="00A33334"/>
    <w:rsid w:val="00A368F3"/>
    <w:rsid w:val="00A370ED"/>
    <w:rsid w:val="00A4004D"/>
    <w:rsid w:val="00A43BD9"/>
    <w:rsid w:val="00A51227"/>
    <w:rsid w:val="00A55B3E"/>
    <w:rsid w:val="00A56202"/>
    <w:rsid w:val="00A5704A"/>
    <w:rsid w:val="00A867E8"/>
    <w:rsid w:val="00A92ED8"/>
    <w:rsid w:val="00A971D2"/>
    <w:rsid w:val="00AA044E"/>
    <w:rsid w:val="00AA4A8E"/>
    <w:rsid w:val="00AA65EA"/>
    <w:rsid w:val="00AA6A6B"/>
    <w:rsid w:val="00AD4B18"/>
    <w:rsid w:val="00AD73CB"/>
    <w:rsid w:val="00AD7614"/>
    <w:rsid w:val="00AE27D1"/>
    <w:rsid w:val="00AF1D2D"/>
    <w:rsid w:val="00AF415D"/>
    <w:rsid w:val="00B01BE2"/>
    <w:rsid w:val="00B051FF"/>
    <w:rsid w:val="00B12648"/>
    <w:rsid w:val="00B17524"/>
    <w:rsid w:val="00B31F81"/>
    <w:rsid w:val="00B51332"/>
    <w:rsid w:val="00B5176A"/>
    <w:rsid w:val="00B5349E"/>
    <w:rsid w:val="00B600ED"/>
    <w:rsid w:val="00B65C35"/>
    <w:rsid w:val="00B700C7"/>
    <w:rsid w:val="00B70489"/>
    <w:rsid w:val="00B7181A"/>
    <w:rsid w:val="00B718CC"/>
    <w:rsid w:val="00B7651A"/>
    <w:rsid w:val="00B80DD9"/>
    <w:rsid w:val="00B83DB5"/>
    <w:rsid w:val="00B90E65"/>
    <w:rsid w:val="00B92091"/>
    <w:rsid w:val="00B92E84"/>
    <w:rsid w:val="00B968A8"/>
    <w:rsid w:val="00B96DA2"/>
    <w:rsid w:val="00BA0BA7"/>
    <w:rsid w:val="00BA3113"/>
    <w:rsid w:val="00BA5204"/>
    <w:rsid w:val="00BB0647"/>
    <w:rsid w:val="00BB31C8"/>
    <w:rsid w:val="00BB52B6"/>
    <w:rsid w:val="00BB5840"/>
    <w:rsid w:val="00BB5B08"/>
    <w:rsid w:val="00BB6099"/>
    <w:rsid w:val="00BC0C2C"/>
    <w:rsid w:val="00BD5CF4"/>
    <w:rsid w:val="00BD65AF"/>
    <w:rsid w:val="00BD7140"/>
    <w:rsid w:val="00BE33DB"/>
    <w:rsid w:val="00BE4474"/>
    <w:rsid w:val="00C10B75"/>
    <w:rsid w:val="00C15D65"/>
    <w:rsid w:val="00C25EF2"/>
    <w:rsid w:val="00C32618"/>
    <w:rsid w:val="00C32AB1"/>
    <w:rsid w:val="00C376FB"/>
    <w:rsid w:val="00C4308C"/>
    <w:rsid w:val="00C47A3F"/>
    <w:rsid w:val="00C570B2"/>
    <w:rsid w:val="00C6178D"/>
    <w:rsid w:val="00C66F79"/>
    <w:rsid w:val="00C72DBA"/>
    <w:rsid w:val="00C73ACF"/>
    <w:rsid w:val="00C740EB"/>
    <w:rsid w:val="00C75A6E"/>
    <w:rsid w:val="00C93728"/>
    <w:rsid w:val="00C966AE"/>
    <w:rsid w:val="00CA10FC"/>
    <w:rsid w:val="00CB4DFA"/>
    <w:rsid w:val="00CB5178"/>
    <w:rsid w:val="00CC669B"/>
    <w:rsid w:val="00CF227A"/>
    <w:rsid w:val="00CF4452"/>
    <w:rsid w:val="00D037DD"/>
    <w:rsid w:val="00D130DD"/>
    <w:rsid w:val="00D14C61"/>
    <w:rsid w:val="00D14E47"/>
    <w:rsid w:val="00D4555F"/>
    <w:rsid w:val="00D462BA"/>
    <w:rsid w:val="00D46727"/>
    <w:rsid w:val="00D46F6B"/>
    <w:rsid w:val="00D52511"/>
    <w:rsid w:val="00D630DD"/>
    <w:rsid w:val="00D63ED9"/>
    <w:rsid w:val="00D66751"/>
    <w:rsid w:val="00D733F9"/>
    <w:rsid w:val="00D759F5"/>
    <w:rsid w:val="00D95268"/>
    <w:rsid w:val="00DA4D5A"/>
    <w:rsid w:val="00DA6757"/>
    <w:rsid w:val="00DB05EC"/>
    <w:rsid w:val="00DB6A26"/>
    <w:rsid w:val="00DC1011"/>
    <w:rsid w:val="00DC1281"/>
    <w:rsid w:val="00DC1A28"/>
    <w:rsid w:val="00DD1679"/>
    <w:rsid w:val="00DD20B6"/>
    <w:rsid w:val="00DD3062"/>
    <w:rsid w:val="00DE218A"/>
    <w:rsid w:val="00DE69D1"/>
    <w:rsid w:val="00DF515A"/>
    <w:rsid w:val="00DF58E1"/>
    <w:rsid w:val="00DF67B4"/>
    <w:rsid w:val="00E00A9D"/>
    <w:rsid w:val="00E0225C"/>
    <w:rsid w:val="00E235FC"/>
    <w:rsid w:val="00E2400B"/>
    <w:rsid w:val="00E2504F"/>
    <w:rsid w:val="00E3083C"/>
    <w:rsid w:val="00E32104"/>
    <w:rsid w:val="00E35B3B"/>
    <w:rsid w:val="00E405E4"/>
    <w:rsid w:val="00E46561"/>
    <w:rsid w:val="00E5620D"/>
    <w:rsid w:val="00E56987"/>
    <w:rsid w:val="00E619F1"/>
    <w:rsid w:val="00E664DE"/>
    <w:rsid w:val="00E710F0"/>
    <w:rsid w:val="00E731ED"/>
    <w:rsid w:val="00E77899"/>
    <w:rsid w:val="00E85D06"/>
    <w:rsid w:val="00E90CD4"/>
    <w:rsid w:val="00E92910"/>
    <w:rsid w:val="00EB6AA1"/>
    <w:rsid w:val="00EF0E35"/>
    <w:rsid w:val="00EF706E"/>
    <w:rsid w:val="00F0604B"/>
    <w:rsid w:val="00F10226"/>
    <w:rsid w:val="00F130DD"/>
    <w:rsid w:val="00F169EF"/>
    <w:rsid w:val="00F33938"/>
    <w:rsid w:val="00F35F6B"/>
    <w:rsid w:val="00F674B4"/>
    <w:rsid w:val="00F83FC0"/>
    <w:rsid w:val="00F9642E"/>
    <w:rsid w:val="00F97728"/>
    <w:rsid w:val="00FB53D4"/>
    <w:rsid w:val="00FB7A5F"/>
    <w:rsid w:val="00FC34D1"/>
    <w:rsid w:val="00FC7C82"/>
    <w:rsid w:val="00FC7F6F"/>
    <w:rsid w:val="00FD73E9"/>
    <w:rsid w:val="00FF0D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877ECA"/>
  <w15:chartTrackingRefBased/>
  <w15:docId w15:val="{97246D8A-6EAD-4719-AA08-800878FA1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0225C"/>
    <w:pPr>
      <w:keepNext/>
      <w:keepLines/>
      <w:numPr>
        <w:numId w:val="1"/>
      </w:numPr>
      <w:spacing w:before="240" w:after="80"/>
      <w:outlineLvl w:val="0"/>
    </w:pPr>
    <w:rPr>
      <w:rFonts w:ascii="Poppins" w:eastAsiaTheme="majorEastAsia" w:hAnsi="Poppins" w:cs="Poppins"/>
      <w:color w:val="0F4761" w:themeColor="accent1" w:themeShade="BF"/>
      <w:sz w:val="32"/>
      <w:szCs w:val="32"/>
    </w:rPr>
  </w:style>
  <w:style w:type="paragraph" w:styleId="Heading2">
    <w:name w:val="heading 2"/>
    <w:basedOn w:val="Normal"/>
    <w:next w:val="Normal"/>
    <w:link w:val="Heading2Char"/>
    <w:uiPriority w:val="9"/>
    <w:unhideWhenUsed/>
    <w:qFormat/>
    <w:rsid w:val="008A6B70"/>
    <w:pPr>
      <w:keepNext/>
      <w:keepLines/>
      <w:numPr>
        <w:ilvl w:val="1"/>
        <w:numId w:val="1"/>
      </w:numPr>
      <w:spacing w:before="160" w:after="80"/>
      <w:outlineLvl w:val="1"/>
    </w:pPr>
    <w:rPr>
      <w:rFonts w:ascii="Poppins" w:eastAsiaTheme="majorEastAsia" w:hAnsi="Poppins" w:cstheme="majorBidi"/>
      <w:b/>
      <w:bCs/>
    </w:rPr>
  </w:style>
  <w:style w:type="paragraph" w:styleId="Heading3">
    <w:name w:val="heading 3"/>
    <w:basedOn w:val="Normal"/>
    <w:next w:val="Normal"/>
    <w:link w:val="Heading3Char"/>
    <w:uiPriority w:val="9"/>
    <w:unhideWhenUsed/>
    <w:qFormat/>
    <w:rsid w:val="00132826"/>
    <w:pPr>
      <w:keepNext/>
      <w:keepLines/>
      <w:numPr>
        <w:ilvl w:val="2"/>
        <w:numId w:val="1"/>
      </w:numPr>
      <w:spacing w:before="160" w:after="80"/>
      <w:outlineLvl w:val="2"/>
    </w:pPr>
    <w:rPr>
      <w:rFonts w:eastAsiaTheme="majorEastAsia" w:cs="Calibri"/>
      <w:szCs w:val="28"/>
    </w:rPr>
  </w:style>
  <w:style w:type="paragraph" w:styleId="Heading4">
    <w:name w:val="heading 4"/>
    <w:basedOn w:val="Normal"/>
    <w:next w:val="Normal"/>
    <w:link w:val="Heading4Char"/>
    <w:uiPriority w:val="9"/>
    <w:unhideWhenUsed/>
    <w:qFormat/>
    <w:rsid w:val="003D3CFB"/>
    <w:pPr>
      <w:keepNext/>
      <w:keepLines/>
      <w:numPr>
        <w:ilvl w:val="3"/>
        <w:numId w:val="1"/>
      </w:numPr>
      <w:spacing w:before="80" w:after="40"/>
      <w:ind w:left="1560" w:hanging="1560"/>
      <w:outlineLvl w:val="3"/>
    </w:pPr>
    <w:rPr>
      <w:rFonts w:ascii="Poppins" w:eastAsiaTheme="majorEastAsia" w:hAnsi="Poppins" w:cs="Poppins"/>
    </w:rPr>
  </w:style>
  <w:style w:type="paragraph" w:styleId="Heading5">
    <w:name w:val="heading 5"/>
    <w:basedOn w:val="Normal"/>
    <w:next w:val="Normal"/>
    <w:link w:val="Heading5Char"/>
    <w:uiPriority w:val="9"/>
    <w:semiHidden/>
    <w:unhideWhenUsed/>
    <w:qFormat/>
    <w:rsid w:val="00D46F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6F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6F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6F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6F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225C"/>
    <w:rPr>
      <w:rFonts w:ascii="Poppins" w:eastAsiaTheme="majorEastAsia" w:hAnsi="Poppins" w:cs="Poppins"/>
      <w:color w:val="0F4761" w:themeColor="accent1" w:themeShade="BF"/>
      <w:sz w:val="32"/>
      <w:szCs w:val="32"/>
    </w:rPr>
  </w:style>
  <w:style w:type="character" w:customStyle="1" w:styleId="Heading2Char">
    <w:name w:val="Heading 2 Char"/>
    <w:basedOn w:val="DefaultParagraphFont"/>
    <w:link w:val="Heading2"/>
    <w:uiPriority w:val="9"/>
    <w:rsid w:val="008A6B70"/>
    <w:rPr>
      <w:rFonts w:ascii="Poppins" w:eastAsiaTheme="majorEastAsia" w:hAnsi="Poppins" w:cstheme="majorBidi"/>
      <w:b/>
      <w:bCs/>
    </w:rPr>
  </w:style>
  <w:style w:type="character" w:customStyle="1" w:styleId="Heading3Char">
    <w:name w:val="Heading 3 Char"/>
    <w:basedOn w:val="DefaultParagraphFont"/>
    <w:link w:val="Heading3"/>
    <w:uiPriority w:val="9"/>
    <w:rsid w:val="00132826"/>
    <w:rPr>
      <w:rFonts w:eastAsiaTheme="majorEastAsia" w:cs="Calibri"/>
      <w:szCs w:val="28"/>
    </w:rPr>
  </w:style>
  <w:style w:type="character" w:customStyle="1" w:styleId="Heading4Char">
    <w:name w:val="Heading 4 Char"/>
    <w:basedOn w:val="DefaultParagraphFont"/>
    <w:link w:val="Heading4"/>
    <w:uiPriority w:val="9"/>
    <w:rsid w:val="003D3CFB"/>
    <w:rPr>
      <w:rFonts w:ascii="Poppins" w:eastAsiaTheme="majorEastAsia" w:hAnsi="Poppins" w:cs="Poppins"/>
    </w:rPr>
  </w:style>
  <w:style w:type="character" w:customStyle="1" w:styleId="Heading5Char">
    <w:name w:val="Heading 5 Char"/>
    <w:basedOn w:val="DefaultParagraphFont"/>
    <w:link w:val="Heading5"/>
    <w:uiPriority w:val="9"/>
    <w:semiHidden/>
    <w:rsid w:val="00D46F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6F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6F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6F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6F6B"/>
    <w:rPr>
      <w:rFonts w:eastAsiaTheme="majorEastAsia" w:cstheme="majorBidi"/>
      <w:color w:val="272727" w:themeColor="text1" w:themeTint="D8"/>
    </w:rPr>
  </w:style>
  <w:style w:type="paragraph" w:styleId="Title">
    <w:name w:val="Title"/>
    <w:basedOn w:val="Normal"/>
    <w:next w:val="Normal"/>
    <w:link w:val="TitleChar"/>
    <w:uiPriority w:val="10"/>
    <w:qFormat/>
    <w:rsid w:val="00D46F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6F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6F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6F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6F6B"/>
    <w:pPr>
      <w:spacing w:before="160"/>
      <w:jc w:val="center"/>
    </w:pPr>
    <w:rPr>
      <w:i/>
      <w:iCs/>
      <w:color w:val="404040" w:themeColor="text1" w:themeTint="BF"/>
    </w:rPr>
  </w:style>
  <w:style w:type="character" w:customStyle="1" w:styleId="QuoteChar">
    <w:name w:val="Quote Char"/>
    <w:basedOn w:val="DefaultParagraphFont"/>
    <w:link w:val="Quote"/>
    <w:uiPriority w:val="29"/>
    <w:rsid w:val="00D46F6B"/>
    <w:rPr>
      <w:i/>
      <w:iCs/>
      <w:color w:val="404040" w:themeColor="text1" w:themeTint="BF"/>
    </w:rPr>
  </w:style>
  <w:style w:type="paragraph" w:styleId="ListParagraph">
    <w:name w:val="List Paragraph"/>
    <w:basedOn w:val="Normal"/>
    <w:uiPriority w:val="34"/>
    <w:qFormat/>
    <w:rsid w:val="00D46F6B"/>
    <w:pPr>
      <w:ind w:left="720"/>
      <w:contextualSpacing/>
    </w:pPr>
  </w:style>
  <w:style w:type="character" w:styleId="IntenseEmphasis">
    <w:name w:val="Intense Emphasis"/>
    <w:basedOn w:val="DefaultParagraphFont"/>
    <w:uiPriority w:val="21"/>
    <w:qFormat/>
    <w:rsid w:val="00D46F6B"/>
    <w:rPr>
      <w:i/>
      <w:iCs/>
      <w:color w:val="0F4761" w:themeColor="accent1" w:themeShade="BF"/>
    </w:rPr>
  </w:style>
  <w:style w:type="paragraph" w:styleId="IntenseQuote">
    <w:name w:val="Intense Quote"/>
    <w:basedOn w:val="Normal"/>
    <w:next w:val="Normal"/>
    <w:link w:val="IntenseQuoteChar"/>
    <w:uiPriority w:val="30"/>
    <w:qFormat/>
    <w:rsid w:val="00D46F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6F6B"/>
    <w:rPr>
      <w:i/>
      <w:iCs/>
      <w:color w:val="0F4761" w:themeColor="accent1" w:themeShade="BF"/>
    </w:rPr>
  </w:style>
  <w:style w:type="character" w:styleId="IntenseReference">
    <w:name w:val="Intense Reference"/>
    <w:basedOn w:val="DefaultParagraphFont"/>
    <w:uiPriority w:val="32"/>
    <w:qFormat/>
    <w:rsid w:val="00D46F6B"/>
    <w:rPr>
      <w:b/>
      <w:bCs/>
      <w:smallCaps/>
      <w:color w:val="0F4761" w:themeColor="accent1" w:themeShade="BF"/>
      <w:spacing w:val="5"/>
    </w:rPr>
  </w:style>
  <w:style w:type="paragraph" w:styleId="Header">
    <w:name w:val="header"/>
    <w:basedOn w:val="Normal"/>
    <w:link w:val="HeaderChar"/>
    <w:uiPriority w:val="99"/>
    <w:unhideWhenUsed/>
    <w:rsid w:val="00D46F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F6B"/>
  </w:style>
  <w:style w:type="paragraph" w:styleId="Footer">
    <w:name w:val="footer"/>
    <w:basedOn w:val="Normal"/>
    <w:link w:val="FooterChar"/>
    <w:uiPriority w:val="99"/>
    <w:unhideWhenUsed/>
    <w:rsid w:val="00D46F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F6B"/>
  </w:style>
  <w:style w:type="table" w:styleId="TableGrid">
    <w:name w:val="Table Grid"/>
    <w:basedOn w:val="TableNormal"/>
    <w:uiPriority w:val="39"/>
    <w:rsid w:val="00D46F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C376FB"/>
    <w:pPr>
      <w:spacing w:after="100"/>
    </w:pPr>
  </w:style>
  <w:style w:type="paragraph" w:styleId="TOC2">
    <w:name w:val="toc 2"/>
    <w:basedOn w:val="Normal"/>
    <w:next w:val="Normal"/>
    <w:autoRedefine/>
    <w:uiPriority w:val="39"/>
    <w:unhideWhenUsed/>
    <w:rsid w:val="00C376FB"/>
    <w:pPr>
      <w:spacing w:after="100"/>
      <w:ind w:left="220"/>
    </w:pPr>
  </w:style>
  <w:style w:type="character" w:styleId="Hyperlink">
    <w:name w:val="Hyperlink"/>
    <w:basedOn w:val="DefaultParagraphFont"/>
    <w:uiPriority w:val="99"/>
    <w:unhideWhenUsed/>
    <w:rsid w:val="00C376FB"/>
    <w:rPr>
      <w:color w:val="467886" w:themeColor="hyperlink"/>
      <w:u w:val="single"/>
    </w:rPr>
  </w:style>
  <w:style w:type="paragraph" w:customStyle="1" w:styleId="Code">
    <w:name w:val="Code"/>
    <w:basedOn w:val="Normal"/>
    <w:qFormat/>
    <w:rsid w:val="000C67AD"/>
    <w:pPr>
      <w:tabs>
        <w:tab w:val="left" w:pos="0"/>
        <w:tab w:val="left" w:pos="284"/>
        <w:tab w:val="left" w:pos="567"/>
        <w:tab w:val="left" w:pos="851"/>
        <w:tab w:val="left" w:pos="1134"/>
        <w:tab w:val="left" w:pos="1418"/>
      </w:tabs>
      <w:spacing w:after="0" w:line="240" w:lineRule="auto"/>
      <w:ind w:left="-426"/>
    </w:pPr>
    <w:rPr>
      <w:rFonts w:ascii="Courier New" w:hAnsi="Courier New" w:cs="Courier New"/>
      <w:sz w:val="16"/>
      <w:szCs w:val="16"/>
    </w:rPr>
  </w:style>
  <w:style w:type="paragraph" w:styleId="NoSpacing">
    <w:name w:val="No Spacing"/>
    <w:uiPriority w:val="1"/>
    <w:qFormat/>
    <w:rsid w:val="004464D8"/>
    <w:pPr>
      <w:spacing w:after="0" w:line="240" w:lineRule="auto"/>
    </w:pPr>
  </w:style>
  <w:style w:type="paragraph" w:styleId="NormalWeb">
    <w:name w:val="Normal (Web)"/>
    <w:basedOn w:val="Normal"/>
    <w:uiPriority w:val="99"/>
    <w:semiHidden/>
    <w:unhideWhenUsed/>
    <w:rsid w:val="00FC34D1"/>
    <w:pPr>
      <w:spacing w:before="100" w:beforeAutospacing="1" w:after="100" w:afterAutospacing="1" w:line="240" w:lineRule="auto"/>
    </w:pPr>
    <w:rPr>
      <w:rFonts w:ascii="Times New Roman" w:eastAsia="Times New Roman" w:hAnsi="Times New Roman" w:cs="Times New Roman"/>
      <w:sz w:val="24"/>
      <w:szCs w:val="24"/>
      <w:lang w:eastAsia="en-GB"/>
      <w14:ligatures w14:val="none"/>
    </w:rPr>
  </w:style>
  <w:style w:type="character" w:styleId="Strong">
    <w:name w:val="Strong"/>
    <w:basedOn w:val="DefaultParagraphFont"/>
    <w:uiPriority w:val="22"/>
    <w:qFormat/>
    <w:rsid w:val="00042DAF"/>
    <w:rPr>
      <w:b/>
      <w:bCs/>
    </w:rPr>
  </w:style>
  <w:style w:type="character" w:styleId="UnresolvedMention">
    <w:name w:val="Unresolved Mention"/>
    <w:basedOn w:val="DefaultParagraphFont"/>
    <w:uiPriority w:val="99"/>
    <w:semiHidden/>
    <w:unhideWhenUsed/>
    <w:rsid w:val="00CA10FC"/>
    <w:rPr>
      <w:color w:val="605E5C"/>
      <w:shd w:val="clear" w:color="auto" w:fill="E1DFDD"/>
    </w:rPr>
  </w:style>
  <w:style w:type="paragraph" w:styleId="HTMLPreformatted">
    <w:name w:val="HTML Preformatted"/>
    <w:basedOn w:val="Normal"/>
    <w:link w:val="HTMLPreformattedChar"/>
    <w:uiPriority w:val="99"/>
    <w:semiHidden/>
    <w:unhideWhenUsed/>
    <w:rsid w:val="00B65C35"/>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65C35"/>
    <w:rPr>
      <w:rFonts w:ascii="Consolas" w:hAnsi="Consolas"/>
      <w:sz w:val="20"/>
      <w:szCs w:val="20"/>
    </w:rPr>
  </w:style>
  <w:style w:type="paragraph" w:customStyle="1" w:styleId="NormalBullet">
    <w:name w:val="NormalBullet"/>
    <w:basedOn w:val="ListParagraph"/>
    <w:qFormat/>
    <w:rsid w:val="00916F5D"/>
    <w:pPr>
      <w:numPr>
        <w:numId w:val="2"/>
      </w:numPr>
    </w:pPr>
  </w:style>
  <w:style w:type="character" w:styleId="FollowedHyperlink">
    <w:name w:val="FollowedHyperlink"/>
    <w:basedOn w:val="DefaultParagraphFont"/>
    <w:uiPriority w:val="99"/>
    <w:semiHidden/>
    <w:unhideWhenUsed/>
    <w:rsid w:val="00646ED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8089">
      <w:bodyDiv w:val="1"/>
      <w:marLeft w:val="0"/>
      <w:marRight w:val="0"/>
      <w:marTop w:val="0"/>
      <w:marBottom w:val="0"/>
      <w:divBdr>
        <w:top w:val="none" w:sz="0" w:space="0" w:color="auto"/>
        <w:left w:val="none" w:sz="0" w:space="0" w:color="auto"/>
        <w:bottom w:val="none" w:sz="0" w:space="0" w:color="auto"/>
        <w:right w:val="none" w:sz="0" w:space="0" w:color="auto"/>
      </w:divBdr>
    </w:div>
    <w:div w:id="188182984">
      <w:bodyDiv w:val="1"/>
      <w:marLeft w:val="0"/>
      <w:marRight w:val="0"/>
      <w:marTop w:val="0"/>
      <w:marBottom w:val="0"/>
      <w:divBdr>
        <w:top w:val="none" w:sz="0" w:space="0" w:color="auto"/>
        <w:left w:val="none" w:sz="0" w:space="0" w:color="auto"/>
        <w:bottom w:val="none" w:sz="0" w:space="0" w:color="auto"/>
        <w:right w:val="none" w:sz="0" w:space="0" w:color="auto"/>
      </w:divBdr>
    </w:div>
    <w:div w:id="242106071">
      <w:bodyDiv w:val="1"/>
      <w:marLeft w:val="0"/>
      <w:marRight w:val="0"/>
      <w:marTop w:val="0"/>
      <w:marBottom w:val="0"/>
      <w:divBdr>
        <w:top w:val="none" w:sz="0" w:space="0" w:color="auto"/>
        <w:left w:val="none" w:sz="0" w:space="0" w:color="auto"/>
        <w:bottom w:val="none" w:sz="0" w:space="0" w:color="auto"/>
        <w:right w:val="none" w:sz="0" w:space="0" w:color="auto"/>
      </w:divBdr>
    </w:div>
    <w:div w:id="19218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moneycarer.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moneycarer.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onika.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2e962b-2e47-4153-8a25-224ec33dd3ae">
      <Terms xmlns="http://schemas.microsoft.com/office/infopath/2007/PartnerControls"/>
    </lcf76f155ced4ddcb4097134ff3c332f>
    <TaxCatchAll xmlns="e669786f-be42-4dfe-a497-0049c3d1735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6842AABA5D5594D8DA238256926B1FA" ma:contentTypeVersion="16" ma:contentTypeDescription="Create a new document." ma:contentTypeScope="" ma:versionID="ee6d3e987bfc035b1e10581c57fdc968">
  <xsd:schema xmlns:xsd="http://www.w3.org/2001/XMLSchema" xmlns:xs="http://www.w3.org/2001/XMLSchema" xmlns:p="http://schemas.microsoft.com/office/2006/metadata/properties" xmlns:ns2="682e962b-2e47-4153-8a25-224ec33dd3ae" xmlns:ns3="e669786f-be42-4dfe-a497-0049c3d17357" targetNamespace="http://schemas.microsoft.com/office/2006/metadata/properties" ma:root="true" ma:fieldsID="86f21a5ba69f3c8f190b3fb91f2d8b71" ns2:_="" ns3:_="">
    <xsd:import namespace="682e962b-2e47-4153-8a25-224ec33dd3ae"/>
    <xsd:import namespace="e669786f-be42-4dfe-a497-0049c3d1735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2e962b-2e47-4153-8a25-224ec33dd3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13e3b0-2c79-46ff-a6bd-6de480535ac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669786f-be42-4dfe-a497-0049c3d1735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49ea1b7-09a7-4259-8871-1f9e134d43a9}" ma:internalName="TaxCatchAll" ma:showField="CatchAllData" ma:web="e669786f-be42-4dfe-a497-0049c3d173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01587C-642F-449A-A0E7-406C90D130DA}">
  <ds:schemaRefs>
    <ds:schemaRef ds:uri="http://schemas.openxmlformats.org/officeDocument/2006/bibliography"/>
  </ds:schemaRefs>
</ds:datastoreItem>
</file>

<file path=customXml/itemProps2.xml><?xml version="1.0" encoding="utf-8"?>
<ds:datastoreItem xmlns:ds="http://schemas.openxmlformats.org/officeDocument/2006/customXml" ds:itemID="{AE97B39B-88B2-439A-8BB9-1F7F340E8B8D}">
  <ds:schemaRefs>
    <ds:schemaRef ds:uri="http://schemas.microsoft.com/sharepoint/v3/contenttype/forms"/>
  </ds:schemaRefs>
</ds:datastoreItem>
</file>

<file path=customXml/itemProps3.xml><?xml version="1.0" encoding="utf-8"?>
<ds:datastoreItem xmlns:ds="http://schemas.openxmlformats.org/officeDocument/2006/customXml" ds:itemID="{D4F19CA3-B93F-4F4F-843C-5026D1232797}">
  <ds:schemaRefs>
    <ds:schemaRef ds:uri="http://schemas.microsoft.com/office/2006/metadata/properties"/>
    <ds:schemaRef ds:uri="http://schemas.microsoft.com/office/infopath/2007/PartnerControls"/>
    <ds:schemaRef ds:uri="682e962b-2e47-4153-8a25-224ec33dd3ae"/>
    <ds:schemaRef ds:uri="e669786f-be42-4dfe-a497-0049c3d17357"/>
  </ds:schemaRefs>
</ds:datastoreItem>
</file>

<file path=customXml/itemProps4.xml><?xml version="1.0" encoding="utf-8"?>
<ds:datastoreItem xmlns:ds="http://schemas.openxmlformats.org/officeDocument/2006/customXml" ds:itemID="{9E94B4FB-0773-4CCB-BBCB-3B16BB970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2e962b-2e47-4153-8a25-224ec33dd3ae"/>
    <ds:schemaRef ds:uri="e669786f-be42-4dfe-a497-0049c3d173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715</Words>
  <Characters>4078</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Internal Complaints Policy</vt:lpstr>
    </vt:vector>
  </TitlesOfParts>
  <Company/>
  <LinksUpToDate>false</LinksUpToDate>
  <CharactersWithSpaces>4784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Access Policy</dc:title>
  <dc:subject/>
  <dc:creator/>
  <cp:keywords/>
  <dc:description/>
  <cp:lastModifiedBy>Andrew Storer</cp:lastModifiedBy>
  <cp:revision>34</cp:revision>
  <dcterms:created xsi:type="dcterms:W3CDTF">2026-06-05T15:47:00Z</dcterms:created>
  <dcterms:modified xsi:type="dcterms:W3CDTF">2026-06-22T15:37:00Z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790b70d-0552-4a0e-97bf-29d3d362e145_Enabled">
    <vt:lpwstr>true</vt:lpwstr>
  </property>
  <property fmtid="{D5CDD505-2E9C-101B-9397-08002B2CF9AE}" pid="3" name="MSIP_Label_c790b70d-0552-4a0e-97bf-29d3d362e145_SetDate">
    <vt:lpwstr>2025-05-15T16:16:27Z</vt:lpwstr>
  </property>
  <property fmtid="{D5CDD505-2E9C-101B-9397-08002B2CF9AE}" pid="4" name="MSIP_Label_c790b70d-0552-4a0e-97bf-29d3d362e145_Method">
    <vt:lpwstr>Privileged</vt:lpwstr>
  </property>
  <property fmtid="{D5CDD505-2E9C-101B-9397-08002B2CF9AE}" pid="5" name="MSIP_Label_c790b70d-0552-4a0e-97bf-29d3d362e145_Name">
    <vt:lpwstr>General</vt:lpwstr>
  </property>
  <property fmtid="{D5CDD505-2E9C-101B-9397-08002B2CF9AE}" pid="6" name="MSIP_Label_c790b70d-0552-4a0e-97bf-29d3d362e145_SiteId">
    <vt:lpwstr>8f2cc536-86c4-4937-834b-1ce871dfe1e0</vt:lpwstr>
  </property>
  <property fmtid="{D5CDD505-2E9C-101B-9397-08002B2CF9AE}" pid="7" name="MSIP_Label_c790b70d-0552-4a0e-97bf-29d3d362e145_ActionId">
    <vt:lpwstr>5debe9bb-a968-475f-8ba0-b8765d7fbfee</vt:lpwstr>
  </property>
  <property fmtid="{D5CDD505-2E9C-101B-9397-08002B2CF9AE}" pid="8" name="MSIP_Label_c790b70d-0552-4a0e-97bf-29d3d362e145_ContentBits">
    <vt:lpwstr>0</vt:lpwstr>
  </property>
  <property fmtid="{D5CDD505-2E9C-101B-9397-08002B2CF9AE}" pid="9" name="MSIP_Label_c790b70d-0552-4a0e-97bf-29d3d362e145_Tag">
    <vt:lpwstr>10, 0, 1, 1</vt:lpwstr>
  </property>
  <property fmtid="{D5CDD505-2E9C-101B-9397-08002B2CF9AE}" pid="10" name="ContentTypeId">
    <vt:lpwstr>0x010100A6842AABA5D5594D8DA238256926B1FA</vt:lpwstr>
  </property>
  <property fmtid="{D5CDD505-2E9C-101B-9397-08002B2CF9AE}" pid="11" name="MediaServiceImageTags">
    <vt:lpwstr/>
  </property>
</Properties>
</file>